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11D8" w14:textId="77777777" w:rsidR="003438EC" w:rsidRPr="008576AA" w:rsidRDefault="003438EC" w:rsidP="003438EC">
      <w:pPr>
        <w:pStyle w:val="SOPLevel1"/>
      </w:pPr>
      <w:r w:rsidRPr="008576AA">
        <w:t>PURPOSE</w:t>
      </w:r>
    </w:p>
    <w:p w14:paraId="3BD44E3B" w14:textId="77777777" w:rsidR="003438EC" w:rsidRPr="003438EC" w:rsidRDefault="00021831" w:rsidP="003438EC">
      <w:pPr>
        <w:pStyle w:val="SOPLevel2"/>
      </w:pPr>
      <w:r>
        <w:rPr>
          <w:szCs w:val="20"/>
        </w:rPr>
        <w:t xml:space="preserve">This SOP </w:t>
      </w:r>
      <w:r w:rsidR="003438EC" w:rsidRPr="003438EC">
        <w:rPr>
          <w:szCs w:val="20"/>
        </w:rPr>
        <w:t xml:space="preserve">establishes </w:t>
      </w:r>
      <w:r w:rsidR="00B23CA1">
        <w:rPr>
          <w:szCs w:val="20"/>
        </w:rPr>
        <w:t xml:space="preserve">a </w:t>
      </w:r>
      <w:r w:rsidR="003438EC" w:rsidRPr="003438EC">
        <w:rPr>
          <w:szCs w:val="20"/>
        </w:rPr>
        <w:t xml:space="preserve">process for the banking of </w:t>
      </w:r>
      <w:r w:rsidR="00324275">
        <w:rPr>
          <w:szCs w:val="20"/>
        </w:rPr>
        <w:t xml:space="preserve">identifiable </w:t>
      </w:r>
      <w:r w:rsidR="003438EC" w:rsidRPr="003438EC">
        <w:rPr>
          <w:szCs w:val="20"/>
        </w:rPr>
        <w:t>specimens (human biological materials</w:t>
      </w:r>
      <w:r w:rsidR="00324275">
        <w:rPr>
          <w:szCs w:val="20"/>
        </w:rPr>
        <w:t>)/data by TAMU</w:t>
      </w:r>
      <w:r w:rsidR="005D217A">
        <w:rPr>
          <w:szCs w:val="20"/>
        </w:rPr>
        <w:t xml:space="preserve"> investigators.</w:t>
      </w:r>
      <w:r w:rsidR="003438EC" w:rsidRPr="003438EC">
        <w:rPr>
          <w:szCs w:val="20"/>
        </w:rPr>
        <w:t xml:space="preserve"> The banking of specimens/data refers to the creation of banks and/or databases (“</w:t>
      </w:r>
      <w:r w:rsidR="003438EC" w:rsidRPr="0044773E">
        <w:rPr>
          <w:szCs w:val="20"/>
          <w:u w:val="double"/>
        </w:rPr>
        <w:t>repositories</w:t>
      </w:r>
      <w:r w:rsidR="003438EC" w:rsidRPr="003438EC">
        <w:rPr>
          <w:szCs w:val="20"/>
        </w:rPr>
        <w:t xml:space="preserve">") to collect, store, and distribute human biological materials (specimens) and data for future research purposes. </w:t>
      </w:r>
      <w:r w:rsidR="003438EC" w:rsidRPr="005538BE">
        <w:rPr>
          <w:szCs w:val="20"/>
          <w:u w:val="single"/>
        </w:rPr>
        <w:t xml:space="preserve">Repository </w:t>
      </w:r>
      <w:r w:rsidR="003438EC" w:rsidRPr="003438EC">
        <w:rPr>
          <w:szCs w:val="20"/>
        </w:rPr>
        <w:t xml:space="preserve">activities involve three components: </w:t>
      </w:r>
      <w:r w:rsidR="00B23CA1">
        <w:rPr>
          <w:szCs w:val="20"/>
        </w:rPr>
        <w:t xml:space="preserve">(1) </w:t>
      </w:r>
      <w:r w:rsidR="003438EC" w:rsidRPr="003438EC">
        <w:rPr>
          <w:szCs w:val="20"/>
        </w:rPr>
        <w:t xml:space="preserve">Collection of specimens/data; </w:t>
      </w:r>
      <w:r w:rsidR="00B23CA1">
        <w:rPr>
          <w:szCs w:val="20"/>
        </w:rPr>
        <w:t xml:space="preserve">(2) </w:t>
      </w:r>
      <w:r w:rsidR="003438EC" w:rsidRPr="003438EC">
        <w:rPr>
          <w:szCs w:val="20"/>
        </w:rPr>
        <w:t xml:space="preserve">storage and management of the specimens/data; and </w:t>
      </w:r>
      <w:r w:rsidR="00B23CA1">
        <w:rPr>
          <w:szCs w:val="20"/>
        </w:rPr>
        <w:t xml:space="preserve">(3) </w:t>
      </w:r>
      <w:r w:rsidR="003438EC" w:rsidRPr="003438EC">
        <w:rPr>
          <w:szCs w:val="20"/>
        </w:rPr>
        <w:t xml:space="preserve">distribution of specimens/data to “recipient” </w:t>
      </w:r>
      <w:r w:rsidR="003438EC" w:rsidRPr="005538BE">
        <w:rPr>
          <w:szCs w:val="20"/>
          <w:u w:val="double"/>
        </w:rPr>
        <w:t xml:space="preserve">investigators </w:t>
      </w:r>
      <w:r w:rsidR="003438EC" w:rsidRPr="003438EC">
        <w:rPr>
          <w:szCs w:val="20"/>
        </w:rPr>
        <w:t>for use in a future research project.</w:t>
      </w:r>
    </w:p>
    <w:p w14:paraId="5ACA0134" w14:textId="77777777" w:rsidR="003438EC" w:rsidRPr="003438EC" w:rsidRDefault="00021831" w:rsidP="003438EC">
      <w:pPr>
        <w:pStyle w:val="SOPLevel2"/>
      </w:pPr>
      <w:r>
        <w:rPr>
          <w:szCs w:val="20"/>
        </w:rPr>
        <w:t>The SOP</w:t>
      </w:r>
      <w:r w:rsidR="00B23CA1">
        <w:rPr>
          <w:szCs w:val="20"/>
        </w:rPr>
        <w:t xml:space="preserve"> begins when the </w:t>
      </w:r>
      <w:r w:rsidR="003438EC" w:rsidRPr="003438EC">
        <w:rPr>
          <w:szCs w:val="20"/>
        </w:rPr>
        <w:t xml:space="preserve">Institutional Review Board (IRB) has determined that the banking of </w:t>
      </w:r>
      <w:r w:rsidR="00324275">
        <w:rPr>
          <w:szCs w:val="20"/>
        </w:rPr>
        <w:t xml:space="preserve">identifiable </w:t>
      </w:r>
      <w:r w:rsidR="003438EC" w:rsidRPr="003438EC">
        <w:rPr>
          <w:szCs w:val="20"/>
        </w:rPr>
        <w:t xml:space="preserve">specimens/data is intended by an </w:t>
      </w:r>
      <w:r w:rsidR="003438EC" w:rsidRPr="005538BE">
        <w:rPr>
          <w:szCs w:val="20"/>
          <w:u w:val="double"/>
        </w:rPr>
        <w:t>investigator</w:t>
      </w:r>
      <w:r w:rsidR="003438EC" w:rsidRPr="003438EC">
        <w:rPr>
          <w:szCs w:val="20"/>
        </w:rPr>
        <w:t xml:space="preserve">, and/or </w:t>
      </w:r>
      <w:r w:rsidR="003438EC" w:rsidRPr="005538BE">
        <w:rPr>
          <w:szCs w:val="20"/>
          <w:u w:val="double"/>
        </w:rPr>
        <w:t xml:space="preserve">research </w:t>
      </w:r>
      <w:r w:rsidR="003438EC" w:rsidRPr="003438EC">
        <w:rPr>
          <w:szCs w:val="20"/>
        </w:rPr>
        <w:t>site designee.</w:t>
      </w:r>
    </w:p>
    <w:p w14:paraId="129D0494" w14:textId="77777777" w:rsidR="003438EC" w:rsidRPr="003438EC" w:rsidRDefault="00021831" w:rsidP="003438EC">
      <w:pPr>
        <w:pStyle w:val="SOPLevel2"/>
      </w:pPr>
      <w:r>
        <w:rPr>
          <w:szCs w:val="20"/>
        </w:rPr>
        <w:t>The SOP</w:t>
      </w:r>
      <w:r w:rsidR="00D9663F">
        <w:rPr>
          <w:szCs w:val="20"/>
        </w:rPr>
        <w:t xml:space="preserve"> ends when the IRB determines that the policy should no longer be </w:t>
      </w:r>
      <w:proofErr w:type="gramStart"/>
      <w:r w:rsidR="00D9663F">
        <w:rPr>
          <w:szCs w:val="20"/>
        </w:rPr>
        <w:t>observed</w:t>
      </w:r>
      <w:proofErr w:type="gramEnd"/>
      <w:r w:rsidR="00D9663F">
        <w:rPr>
          <w:szCs w:val="20"/>
        </w:rPr>
        <w:t xml:space="preserve"> or the </w:t>
      </w:r>
      <w:r w:rsidR="00D9663F" w:rsidRPr="005538BE">
        <w:rPr>
          <w:szCs w:val="20"/>
          <w:u w:val="double"/>
        </w:rPr>
        <w:t>repository</w:t>
      </w:r>
      <w:r w:rsidR="00D9663F">
        <w:rPr>
          <w:szCs w:val="20"/>
        </w:rPr>
        <w:t xml:space="preserve"> is no longer in use and the IRB is notified.</w:t>
      </w:r>
    </w:p>
    <w:p w14:paraId="2CC56FB1" w14:textId="77777777" w:rsidR="003438EC" w:rsidRDefault="003438EC" w:rsidP="003438EC">
      <w:pPr>
        <w:pStyle w:val="SOPLevel1"/>
      </w:pPr>
      <w:r w:rsidRPr="003438EC">
        <w:t xml:space="preserve"> REVISIONS FROM PREVIOUS VERSION </w:t>
      </w:r>
    </w:p>
    <w:p w14:paraId="2D5AAF8B" w14:textId="77777777" w:rsidR="003438EC" w:rsidRDefault="003438EC" w:rsidP="003438EC">
      <w:pPr>
        <w:pStyle w:val="SOPLevel2"/>
      </w:pPr>
      <w:r w:rsidRPr="003438EC">
        <w:t xml:space="preserve">None. </w:t>
      </w:r>
    </w:p>
    <w:p w14:paraId="0B0D43F6" w14:textId="77777777" w:rsidR="003438EC" w:rsidRDefault="00021831" w:rsidP="003438EC">
      <w:pPr>
        <w:pStyle w:val="SOPLevel1"/>
      </w:pPr>
      <w:r>
        <w:t xml:space="preserve">SOP </w:t>
      </w:r>
      <w:r w:rsidR="003438EC" w:rsidRPr="003438EC">
        <w:t xml:space="preserve">STATEMENT </w:t>
      </w:r>
    </w:p>
    <w:p w14:paraId="16F4ED64" w14:textId="77777777" w:rsidR="003438EC" w:rsidRDefault="003438EC" w:rsidP="003438EC">
      <w:pPr>
        <w:pStyle w:val="SOPLevel2"/>
      </w:pPr>
      <w:r w:rsidRPr="003438EC">
        <w:t xml:space="preserve">Non-Research </w:t>
      </w:r>
      <w:r w:rsidRPr="005538BE">
        <w:rPr>
          <w:u w:val="double"/>
        </w:rPr>
        <w:t>Repositories</w:t>
      </w:r>
      <w:r w:rsidRPr="003438EC">
        <w:t xml:space="preserve">: </w:t>
      </w:r>
    </w:p>
    <w:p w14:paraId="4D43D192" w14:textId="77777777" w:rsidR="003438EC" w:rsidRDefault="003438EC" w:rsidP="003438EC">
      <w:pPr>
        <w:pStyle w:val="SOPLevel3"/>
      </w:pPr>
      <w:r w:rsidRPr="003438EC">
        <w:t>If specimens or data were originally collected for non-research purposes</w:t>
      </w:r>
      <w:r w:rsidR="004B51C8">
        <w:t xml:space="preserve"> AND were added to a non-research </w:t>
      </w:r>
      <w:r w:rsidRPr="003438EC">
        <w:t>repository/database without any</w:t>
      </w:r>
      <w:r w:rsidR="00D9663F">
        <w:t xml:space="preserve"> </w:t>
      </w:r>
      <w:r w:rsidR="00D9663F" w:rsidRPr="005538BE">
        <w:rPr>
          <w:u w:val="double"/>
        </w:rPr>
        <w:t>identifiable</w:t>
      </w:r>
      <w:r w:rsidR="00D9663F" w:rsidRPr="00324275">
        <w:t xml:space="preserve"> </w:t>
      </w:r>
      <w:r w:rsidR="00D9663F">
        <w:t xml:space="preserve">private data or </w:t>
      </w:r>
      <w:r w:rsidR="00D9663F" w:rsidRPr="005538BE">
        <w:rPr>
          <w:u w:val="double"/>
        </w:rPr>
        <w:t>information</w:t>
      </w:r>
      <w:r w:rsidR="00D9663F">
        <w:t xml:space="preserve"> or</w:t>
      </w:r>
      <w:r w:rsidRPr="003438EC">
        <w:t xml:space="preserve"> </w:t>
      </w:r>
      <w:r w:rsidRPr="00D9663F">
        <w:rPr>
          <w:u w:val="single"/>
        </w:rPr>
        <w:t>links</w:t>
      </w:r>
      <w:r w:rsidRPr="003438EC">
        <w:t xml:space="preserve"> </w:t>
      </w:r>
      <w:r w:rsidR="00D9663F">
        <w:t>(c</w:t>
      </w:r>
      <w:r w:rsidR="00324275">
        <w:t>odes, pathology numbers,</w:t>
      </w:r>
      <w:r w:rsidR="00D9663F">
        <w:t xml:space="preserve"> record numbers) </w:t>
      </w:r>
      <w:r w:rsidRPr="003438EC">
        <w:t xml:space="preserve">to identifiable private data or information, it is a “non-research” repository/database. </w:t>
      </w:r>
      <w:r w:rsidR="00D9663F">
        <w:t>If</w:t>
      </w:r>
      <w:r w:rsidR="00D9663F" w:rsidRPr="003438EC">
        <w:t xml:space="preserve"> links</w:t>
      </w:r>
      <w:r w:rsidR="00D9663F">
        <w:t xml:space="preserve"> are</w:t>
      </w:r>
      <w:r w:rsidR="00D9663F" w:rsidRPr="003438EC">
        <w:t xml:space="preserve"> included, this policy </w:t>
      </w:r>
      <w:r w:rsidR="00D9663F">
        <w:t>section</w:t>
      </w:r>
      <w:r w:rsidR="00324275">
        <w:t xml:space="preserve"> (3.1.1)</w:t>
      </w:r>
      <w:r w:rsidR="00D9663F">
        <w:t xml:space="preserve"> </w:t>
      </w:r>
      <w:r w:rsidR="00D9663F" w:rsidRPr="003438EC">
        <w:t>does not apply</w:t>
      </w:r>
      <w:r w:rsidR="00D9663F">
        <w:t>.</w:t>
      </w:r>
      <w:r w:rsidR="00D9663F" w:rsidRPr="003438EC">
        <w:t xml:space="preserve"> </w:t>
      </w:r>
    </w:p>
    <w:p w14:paraId="3DCBA961" w14:textId="77777777" w:rsidR="003438EC" w:rsidRDefault="003438EC" w:rsidP="003438EC">
      <w:pPr>
        <w:pStyle w:val="SOPLevel2"/>
      </w:pPr>
      <w:r w:rsidRPr="003438EC">
        <w:t xml:space="preserve">Research </w:t>
      </w:r>
      <w:r w:rsidRPr="005538BE">
        <w:rPr>
          <w:u w:val="double"/>
        </w:rPr>
        <w:t>Repositories</w:t>
      </w:r>
      <w:r w:rsidRPr="003438EC">
        <w:t xml:space="preserve">: </w:t>
      </w:r>
    </w:p>
    <w:p w14:paraId="492DB1D3" w14:textId="77777777" w:rsidR="003438EC" w:rsidRDefault="003438EC" w:rsidP="003438EC">
      <w:pPr>
        <w:pStyle w:val="SOPLevel3"/>
      </w:pPr>
      <w:r w:rsidRPr="003438EC">
        <w:t>If</w:t>
      </w:r>
      <w:r w:rsidR="00324275">
        <w:t xml:space="preserve"> human</w:t>
      </w:r>
      <w:r w:rsidRPr="003438EC">
        <w:t xml:space="preserve"> specimens or data were collected for </w:t>
      </w:r>
      <w:r w:rsidRPr="005538BE">
        <w:rPr>
          <w:u w:val="double"/>
        </w:rPr>
        <w:t>research</w:t>
      </w:r>
      <w:r w:rsidRPr="003438EC">
        <w:t xml:space="preserve"> purposes, it is a </w:t>
      </w:r>
      <w:r w:rsidRPr="005538BE">
        <w:rPr>
          <w:u w:val="double"/>
        </w:rPr>
        <w:t>research</w:t>
      </w:r>
      <w:r w:rsidRPr="003438EC">
        <w:t xml:space="preserve"> </w:t>
      </w:r>
      <w:r w:rsidRPr="005538BE">
        <w:rPr>
          <w:u w:val="double"/>
        </w:rPr>
        <w:t>repository</w:t>
      </w:r>
      <w:r w:rsidRPr="003438EC">
        <w:t>. Collection of specimens/data, repository storage or data management and use of specimens or disclosure of data are all considered “research activities” and require IRB review and approval.</w:t>
      </w:r>
    </w:p>
    <w:p w14:paraId="790BBF58" w14:textId="77777777" w:rsidR="003438EC" w:rsidRPr="003438EC" w:rsidRDefault="00324275" w:rsidP="003438EC">
      <w:pPr>
        <w:pStyle w:val="SOPLevel3"/>
      </w:pPr>
      <w:r>
        <w:rPr>
          <w:szCs w:val="20"/>
        </w:rPr>
        <w:t>Human s</w:t>
      </w:r>
      <w:r w:rsidR="003438EC" w:rsidRPr="003438EC">
        <w:rPr>
          <w:szCs w:val="20"/>
        </w:rPr>
        <w:t xml:space="preserve">pecimen/data </w:t>
      </w:r>
      <w:r w:rsidR="003438EC" w:rsidRPr="005538BE">
        <w:rPr>
          <w:szCs w:val="20"/>
          <w:u w:val="double"/>
        </w:rPr>
        <w:t xml:space="preserve">repositories </w:t>
      </w:r>
      <w:r w:rsidR="003438EC" w:rsidRPr="003438EC">
        <w:rPr>
          <w:szCs w:val="20"/>
        </w:rPr>
        <w:t xml:space="preserve">may include two kinds of specimens/data: a) those collected with the expressed purpose of </w:t>
      </w:r>
      <w:r w:rsidR="003438EC" w:rsidRPr="005538BE">
        <w:rPr>
          <w:szCs w:val="20"/>
          <w:u w:val="double"/>
        </w:rPr>
        <w:t>distribution</w:t>
      </w:r>
      <w:r w:rsidR="003438EC" w:rsidRPr="003438EC">
        <w:rPr>
          <w:szCs w:val="20"/>
        </w:rPr>
        <w:t xml:space="preserve"> to other </w:t>
      </w:r>
      <w:r w:rsidR="003438EC" w:rsidRPr="005538BE">
        <w:rPr>
          <w:szCs w:val="20"/>
          <w:u w:val="double"/>
        </w:rPr>
        <w:t>investigators</w:t>
      </w:r>
      <w:r w:rsidR="003438EC" w:rsidRPr="003438EC">
        <w:rPr>
          <w:szCs w:val="20"/>
        </w:rPr>
        <w:t xml:space="preserve">, and b) those collected by individual investigators, and not originally intended to be shared with others, but which are subsequently shared as part of a </w:t>
      </w:r>
      <w:r w:rsidR="003438EC" w:rsidRPr="005538BE">
        <w:rPr>
          <w:szCs w:val="20"/>
          <w:u w:val="double"/>
        </w:rPr>
        <w:t>repository</w:t>
      </w:r>
      <w:r w:rsidR="003438EC" w:rsidRPr="003438EC">
        <w:rPr>
          <w:szCs w:val="20"/>
        </w:rPr>
        <w:t>.</w:t>
      </w:r>
    </w:p>
    <w:p w14:paraId="52B88F0D" w14:textId="77777777" w:rsidR="003438EC" w:rsidRPr="004B51C8" w:rsidRDefault="003438EC" w:rsidP="003438EC">
      <w:pPr>
        <w:pStyle w:val="SOPLevel3"/>
      </w:pPr>
      <w:r w:rsidRPr="003438EC">
        <w:rPr>
          <w:szCs w:val="20"/>
        </w:rPr>
        <w:t xml:space="preserve">Any collection which contains </w:t>
      </w:r>
      <w:r w:rsidR="00324275">
        <w:rPr>
          <w:szCs w:val="20"/>
        </w:rPr>
        <w:t xml:space="preserve">human </w:t>
      </w:r>
      <w:r w:rsidRPr="003438EC">
        <w:rPr>
          <w:szCs w:val="20"/>
        </w:rPr>
        <w:t xml:space="preserve">specimens/data that are potentially </w:t>
      </w:r>
      <w:r w:rsidRPr="005538BE">
        <w:rPr>
          <w:szCs w:val="20"/>
          <w:u w:val="double"/>
        </w:rPr>
        <w:t>identifiable</w:t>
      </w:r>
      <w:r w:rsidRPr="003438EC">
        <w:rPr>
          <w:szCs w:val="20"/>
        </w:rPr>
        <w:t xml:space="preserve"> (</w:t>
      </w:r>
      <w:proofErr w:type="gramStart"/>
      <w:r w:rsidRPr="003438EC">
        <w:rPr>
          <w:szCs w:val="20"/>
        </w:rPr>
        <w:t>i.e.</w:t>
      </w:r>
      <w:proofErr w:type="gramEnd"/>
      <w:r w:rsidRPr="003438EC">
        <w:rPr>
          <w:szCs w:val="20"/>
        </w:rPr>
        <w:t xml:space="preserve"> directly or indirectly with a code</w:t>
      </w:r>
      <w:r w:rsidR="003843EC">
        <w:rPr>
          <w:szCs w:val="20"/>
        </w:rPr>
        <w:t xml:space="preserve"> or link</w:t>
      </w:r>
      <w:r w:rsidRPr="003438EC">
        <w:rPr>
          <w:szCs w:val="20"/>
        </w:rPr>
        <w:t xml:space="preserve">) and are distributed to someone other than the </w:t>
      </w:r>
      <w:r w:rsidR="004B51C8">
        <w:rPr>
          <w:szCs w:val="20"/>
        </w:rPr>
        <w:t xml:space="preserve">original </w:t>
      </w:r>
      <w:r w:rsidRPr="003438EC">
        <w:rPr>
          <w:szCs w:val="20"/>
        </w:rPr>
        <w:t xml:space="preserve">named </w:t>
      </w:r>
      <w:r w:rsidRPr="005538BE">
        <w:rPr>
          <w:szCs w:val="20"/>
          <w:u w:val="double"/>
        </w:rPr>
        <w:t>investigator(</w:t>
      </w:r>
      <w:r w:rsidRPr="003438EC">
        <w:rPr>
          <w:szCs w:val="20"/>
        </w:rPr>
        <w:t>s) making the collection, regardless of the original intent, may be considered t</w:t>
      </w:r>
      <w:r w:rsidR="004B51C8">
        <w:rPr>
          <w:szCs w:val="20"/>
        </w:rPr>
        <w:t xml:space="preserve">o be a </w:t>
      </w:r>
      <w:r w:rsidR="004B51C8" w:rsidRPr="005538BE">
        <w:rPr>
          <w:szCs w:val="20"/>
          <w:u w:val="double"/>
        </w:rPr>
        <w:t>repository</w:t>
      </w:r>
      <w:r w:rsidR="004B51C8">
        <w:rPr>
          <w:szCs w:val="20"/>
        </w:rPr>
        <w:t xml:space="preserve"> requiring </w:t>
      </w:r>
      <w:r w:rsidRPr="003438EC">
        <w:rPr>
          <w:szCs w:val="20"/>
        </w:rPr>
        <w:t>IRB oversight.</w:t>
      </w:r>
    </w:p>
    <w:p w14:paraId="0D54B7C6" w14:textId="77777777" w:rsidR="004B51C8" w:rsidRPr="004B51C8" w:rsidRDefault="004B51C8" w:rsidP="004B51C8">
      <w:pPr>
        <w:pStyle w:val="SOPLevel3"/>
      </w:pPr>
      <w:r>
        <w:t xml:space="preserve">If the original named </w:t>
      </w:r>
      <w:r w:rsidRPr="005538BE">
        <w:rPr>
          <w:u w:val="double"/>
        </w:rPr>
        <w:t>investigator</w:t>
      </w:r>
      <w:r>
        <w:t>(s) wish</w:t>
      </w:r>
      <w:r w:rsidR="002756A3">
        <w:t>es</w:t>
      </w:r>
      <w:r>
        <w:t xml:space="preserve"> to use the potentially </w:t>
      </w:r>
      <w:r w:rsidRPr="005538BE">
        <w:rPr>
          <w:u w:val="double"/>
        </w:rPr>
        <w:t>identifiable</w:t>
      </w:r>
      <w:r>
        <w:t xml:space="preserve"> </w:t>
      </w:r>
      <w:r w:rsidR="00324275">
        <w:t xml:space="preserve">human </w:t>
      </w:r>
      <w:r>
        <w:t xml:space="preserve">specimens or data for any future use that is not part of the </w:t>
      </w:r>
      <w:r w:rsidR="002756A3">
        <w:t xml:space="preserve">original IRB approved </w:t>
      </w:r>
      <w:proofErr w:type="gramStart"/>
      <w:r>
        <w:t>protocol</w:t>
      </w:r>
      <w:proofErr w:type="gramEnd"/>
      <w:r w:rsidR="002756A3">
        <w:t xml:space="preserve"> </w:t>
      </w:r>
      <w:r>
        <w:t xml:space="preserve">then the subsequent use will also require IRB </w:t>
      </w:r>
      <w:r w:rsidR="005D217A">
        <w:t xml:space="preserve">approval and </w:t>
      </w:r>
      <w:r>
        <w:t>oversight.</w:t>
      </w:r>
    </w:p>
    <w:p w14:paraId="061AD670" w14:textId="77777777" w:rsidR="004B51C8" w:rsidRPr="003438EC" w:rsidRDefault="004B51C8" w:rsidP="004B51C8">
      <w:pPr>
        <w:pStyle w:val="SOPLevel3"/>
        <w:numPr>
          <w:ilvl w:val="0"/>
          <w:numId w:val="0"/>
        </w:numPr>
        <w:ind w:left="1728"/>
      </w:pPr>
    </w:p>
    <w:p w14:paraId="4EA1404F" w14:textId="77777777" w:rsidR="003438EC" w:rsidRPr="003438EC" w:rsidRDefault="003438EC" w:rsidP="003438EC">
      <w:pPr>
        <w:pStyle w:val="SOPLevel2"/>
      </w:pPr>
      <w:r w:rsidRPr="003438EC">
        <w:t xml:space="preserve"> </w:t>
      </w:r>
      <w:r w:rsidR="00324275">
        <w:rPr>
          <w:szCs w:val="20"/>
        </w:rPr>
        <w:t xml:space="preserve">Collection of Human </w:t>
      </w:r>
      <w:r w:rsidRPr="003438EC">
        <w:rPr>
          <w:szCs w:val="20"/>
        </w:rPr>
        <w:t>Specimen/data for a Repository:</w:t>
      </w:r>
    </w:p>
    <w:p w14:paraId="1B2CE454" w14:textId="3B4174F5" w:rsidR="003438EC" w:rsidRPr="003438EC" w:rsidRDefault="003438EC" w:rsidP="003438EC">
      <w:pPr>
        <w:pStyle w:val="SOPLevel3"/>
      </w:pPr>
      <w:r w:rsidRPr="00F163A3">
        <w:rPr>
          <w:szCs w:val="20"/>
          <w:u w:val="double"/>
        </w:rPr>
        <w:t>Investigators</w:t>
      </w:r>
      <w:r w:rsidRPr="003438EC">
        <w:rPr>
          <w:szCs w:val="20"/>
        </w:rPr>
        <w:t xml:space="preserve"> who collect directly or indirectly </w:t>
      </w:r>
      <w:r w:rsidRPr="00F163A3">
        <w:rPr>
          <w:szCs w:val="20"/>
          <w:u w:val="double"/>
        </w:rPr>
        <w:t>identifiable</w:t>
      </w:r>
      <w:r w:rsidR="00324275">
        <w:rPr>
          <w:szCs w:val="20"/>
          <w:u w:val="double"/>
        </w:rPr>
        <w:t xml:space="preserve"> human</w:t>
      </w:r>
      <w:r w:rsidRPr="00F163A3">
        <w:rPr>
          <w:szCs w:val="20"/>
          <w:u w:val="double"/>
        </w:rPr>
        <w:t xml:space="preserve"> s</w:t>
      </w:r>
      <w:r w:rsidR="002756A3" w:rsidRPr="00F163A3">
        <w:rPr>
          <w:szCs w:val="20"/>
          <w:u w:val="double"/>
        </w:rPr>
        <w:t>pecimen</w:t>
      </w:r>
      <w:r w:rsidR="002756A3">
        <w:rPr>
          <w:szCs w:val="20"/>
        </w:rPr>
        <w:t xml:space="preserve">/data must request IRB review and approval of the activity. </w:t>
      </w:r>
      <w:r w:rsidRPr="003438EC">
        <w:rPr>
          <w:szCs w:val="20"/>
        </w:rPr>
        <w:t xml:space="preserve"> Under most circumstances, written informed consent</w:t>
      </w:r>
      <w:r w:rsidR="002756A3">
        <w:rPr>
          <w:szCs w:val="20"/>
        </w:rPr>
        <w:t xml:space="preserve"> and </w:t>
      </w:r>
      <w:r w:rsidR="002C27E5">
        <w:rPr>
          <w:szCs w:val="20"/>
        </w:rPr>
        <w:t xml:space="preserve">when applicable </w:t>
      </w:r>
      <w:r w:rsidR="002756A3">
        <w:rPr>
          <w:szCs w:val="20"/>
        </w:rPr>
        <w:t>HIPAA Authorization</w:t>
      </w:r>
      <w:r w:rsidRPr="003438EC">
        <w:rPr>
          <w:szCs w:val="20"/>
        </w:rPr>
        <w:t xml:space="preserve"> from the subject is required and should include info</w:t>
      </w:r>
      <w:r w:rsidR="002756A3">
        <w:rPr>
          <w:szCs w:val="20"/>
        </w:rPr>
        <w:t xml:space="preserve">rmation about the </w:t>
      </w:r>
      <w:r w:rsidR="002756A3" w:rsidRPr="00F163A3">
        <w:rPr>
          <w:szCs w:val="20"/>
          <w:u w:val="double"/>
        </w:rPr>
        <w:t>repository</w:t>
      </w:r>
      <w:r w:rsidR="002756A3">
        <w:rPr>
          <w:szCs w:val="20"/>
        </w:rPr>
        <w:t>,</w:t>
      </w:r>
      <w:r w:rsidRPr="003438EC">
        <w:rPr>
          <w:szCs w:val="20"/>
        </w:rPr>
        <w:t xml:space="preserve"> the conditions under which the specimens/</w:t>
      </w:r>
      <w:r w:rsidR="002756A3">
        <w:rPr>
          <w:szCs w:val="20"/>
        </w:rPr>
        <w:t xml:space="preserve">data will be shared with others and if the specimen/data will be store for future use beyond the current </w:t>
      </w:r>
      <w:r w:rsidR="002756A3" w:rsidRPr="00F163A3">
        <w:rPr>
          <w:szCs w:val="20"/>
          <w:u w:val="double"/>
        </w:rPr>
        <w:t>research</w:t>
      </w:r>
      <w:r w:rsidR="002756A3">
        <w:rPr>
          <w:szCs w:val="20"/>
        </w:rPr>
        <w:t xml:space="preserve">. </w:t>
      </w:r>
      <w:r w:rsidRPr="003438EC">
        <w:rPr>
          <w:szCs w:val="20"/>
        </w:rPr>
        <w:t xml:space="preserve"> </w:t>
      </w:r>
    </w:p>
    <w:p w14:paraId="244024E3" w14:textId="77777777" w:rsidR="003438EC" w:rsidRDefault="003438EC" w:rsidP="003438EC">
      <w:pPr>
        <w:pStyle w:val="SOPLevel2"/>
      </w:pPr>
      <w:r w:rsidRPr="003438EC">
        <w:t xml:space="preserve">Confidentiality risks of </w:t>
      </w:r>
      <w:r w:rsidRPr="00F163A3">
        <w:rPr>
          <w:u w:val="double"/>
        </w:rPr>
        <w:t>research</w:t>
      </w:r>
      <w:r w:rsidRPr="003438EC">
        <w:t xml:space="preserve"> participation may extend beyond the duration of the </w:t>
      </w:r>
      <w:r w:rsidRPr="00F163A3">
        <w:rPr>
          <w:u w:val="double"/>
        </w:rPr>
        <w:t xml:space="preserve">subject’s </w:t>
      </w:r>
      <w:r w:rsidRPr="003438EC">
        <w:t xml:space="preserve">direct participation in research. This is common when records or samples with identifiers are retained by the </w:t>
      </w:r>
      <w:r w:rsidRPr="00F163A3">
        <w:rPr>
          <w:u w:val="double"/>
        </w:rPr>
        <w:t>investigator</w:t>
      </w:r>
      <w:r w:rsidRPr="003438EC">
        <w:t>. These confidentiality risks and/or new disclosure conc</w:t>
      </w:r>
      <w:r>
        <w:t>erns are important to consider.</w:t>
      </w:r>
    </w:p>
    <w:p w14:paraId="4BD3DF0C" w14:textId="77777777" w:rsidR="003438EC" w:rsidRPr="003438EC" w:rsidRDefault="003438EC" w:rsidP="003438EC">
      <w:pPr>
        <w:pStyle w:val="SOPLevel2"/>
      </w:pPr>
      <w:r w:rsidRPr="003438EC">
        <w:rPr>
          <w:szCs w:val="20"/>
        </w:rPr>
        <w:lastRenderedPageBreak/>
        <w:t xml:space="preserve">The ability to re-test samples containing extractable DNA has made it possible that retained samples may contain information that cannot be foreseen at the time of initial collection, but that may eventually be of great importance or sensitivity. </w:t>
      </w:r>
      <w:r w:rsidRPr="00F163A3">
        <w:rPr>
          <w:szCs w:val="20"/>
          <w:u w:val="double"/>
        </w:rPr>
        <w:t>Investigators</w:t>
      </w:r>
      <w:r w:rsidRPr="003438EC">
        <w:rPr>
          <w:szCs w:val="20"/>
        </w:rPr>
        <w:t xml:space="preserve"> should destroy identif</w:t>
      </w:r>
      <w:r w:rsidR="002756A3">
        <w:rPr>
          <w:szCs w:val="20"/>
        </w:rPr>
        <w:t xml:space="preserve">iers to their samples/data when </w:t>
      </w:r>
      <w:r w:rsidRPr="003438EC">
        <w:rPr>
          <w:szCs w:val="20"/>
        </w:rPr>
        <w:t xml:space="preserve">possible. </w:t>
      </w:r>
    </w:p>
    <w:p w14:paraId="1A20AD3F" w14:textId="77777777" w:rsidR="002756A3" w:rsidRPr="003438EC" w:rsidRDefault="003438EC" w:rsidP="00995D28">
      <w:pPr>
        <w:pStyle w:val="SOPLevel2"/>
      </w:pPr>
      <w:proofErr w:type="gramStart"/>
      <w:r w:rsidRPr="003438EC">
        <w:rPr>
          <w:szCs w:val="20"/>
        </w:rPr>
        <w:t>In regards to</w:t>
      </w:r>
      <w:proofErr w:type="gramEnd"/>
      <w:r w:rsidRPr="003438EC">
        <w:rPr>
          <w:szCs w:val="20"/>
        </w:rPr>
        <w:t xml:space="preserve"> storin</w:t>
      </w:r>
      <w:r w:rsidR="002756A3">
        <w:rPr>
          <w:szCs w:val="20"/>
        </w:rPr>
        <w:t>g dat</w:t>
      </w:r>
      <w:r w:rsidR="00324275">
        <w:rPr>
          <w:szCs w:val="20"/>
        </w:rPr>
        <w:t>a/ specimens outside of TAMU</w:t>
      </w:r>
      <w:r w:rsidRPr="003438EC">
        <w:rPr>
          <w:szCs w:val="20"/>
        </w:rPr>
        <w:t xml:space="preserve">, if the </w:t>
      </w:r>
      <w:r w:rsidRPr="00F163A3">
        <w:rPr>
          <w:szCs w:val="20"/>
          <w:u w:val="double"/>
        </w:rPr>
        <w:t>repository</w:t>
      </w:r>
      <w:r w:rsidRPr="003438EC">
        <w:rPr>
          <w:szCs w:val="20"/>
        </w:rPr>
        <w:t xml:space="preserve"> is located at an external institution or organization, the </w:t>
      </w:r>
      <w:r w:rsidRPr="00F163A3">
        <w:rPr>
          <w:szCs w:val="20"/>
          <w:u w:val="double"/>
        </w:rPr>
        <w:t>inves</w:t>
      </w:r>
      <w:r w:rsidR="002756A3" w:rsidRPr="00F163A3">
        <w:rPr>
          <w:szCs w:val="20"/>
          <w:u w:val="double"/>
        </w:rPr>
        <w:t xml:space="preserve">tigator </w:t>
      </w:r>
      <w:r w:rsidR="00324275">
        <w:rPr>
          <w:szCs w:val="20"/>
        </w:rPr>
        <w:t xml:space="preserve">must submit (to the TAMU </w:t>
      </w:r>
      <w:r w:rsidRPr="003438EC">
        <w:rPr>
          <w:szCs w:val="20"/>
        </w:rPr>
        <w:t xml:space="preserve">IRB) a copy of the external site’s IRB approval letter for operation of the </w:t>
      </w:r>
      <w:r w:rsidRPr="00F163A3">
        <w:rPr>
          <w:szCs w:val="20"/>
          <w:u w:val="double"/>
        </w:rPr>
        <w:t>repository</w:t>
      </w:r>
      <w:r w:rsidRPr="003438EC">
        <w:rPr>
          <w:szCs w:val="20"/>
        </w:rPr>
        <w:t xml:space="preserve"> at that institution or organization. </w:t>
      </w:r>
    </w:p>
    <w:p w14:paraId="72A31436" w14:textId="77777777" w:rsidR="003438EC" w:rsidRPr="003438EC" w:rsidRDefault="003438EC" w:rsidP="003438EC">
      <w:pPr>
        <w:pStyle w:val="SOPLevel2"/>
      </w:pPr>
      <w:r w:rsidRPr="003438EC">
        <w:rPr>
          <w:szCs w:val="20"/>
        </w:rPr>
        <w:t xml:space="preserve">The IRB at the institution where the </w:t>
      </w:r>
      <w:r w:rsidRPr="007B037C">
        <w:rPr>
          <w:szCs w:val="20"/>
          <w:u w:val="double"/>
        </w:rPr>
        <w:t>repository</w:t>
      </w:r>
      <w:r w:rsidRPr="003438EC">
        <w:rPr>
          <w:szCs w:val="20"/>
        </w:rPr>
        <w:t xml:space="preserve"> is located must approve and maintain oversight of a protocol that: (a) specifies the conditions under which data and specimens may be accepted and shared with other </w:t>
      </w:r>
      <w:r w:rsidRPr="007B037C">
        <w:rPr>
          <w:szCs w:val="20"/>
          <w:u w:val="double"/>
        </w:rPr>
        <w:t>investigators</w:t>
      </w:r>
      <w:r w:rsidRPr="003438EC">
        <w:rPr>
          <w:szCs w:val="20"/>
        </w:rPr>
        <w:t xml:space="preserve"> or designees and (b) ensures adequate privacy </w:t>
      </w:r>
      <w:r w:rsidR="00FE17F6">
        <w:rPr>
          <w:szCs w:val="20"/>
        </w:rPr>
        <w:t xml:space="preserve">and confidentiality </w:t>
      </w:r>
      <w:r w:rsidRPr="003438EC">
        <w:rPr>
          <w:szCs w:val="20"/>
        </w:rPr>
        <w:t xml:space="preserve">protections for </w:t>
      </w:r>
      <w:r w:rsidRPr="007B037C">
        <w:rPr>
          <w:szCs w:val="20"/>
          <w:u w:val="double"/>
        </w:rPr>
        <w:t>subjects</w:t>
      </w:r>
      <w:r w:rsidRPr="003438EC">
        <w:rPr>
          <w:szCs w:val="20"/>
        </w:rPr>
        <w:t xml:space="preserve"> contributing to the repository. </w:t>
      </w:r>
    </w:p>
    <w:p w14:paraId="754B6302" w14:textId="77777777" w:rsidR="003438EC" w:rsidRPr="003438EC" w:rsidRDefault="003438EC" w:rsidP="003438EC">
      <w:pPr>
        <w:pStyle w:val="SOPLevel2"/>
      </w:pPr>
      <w:r w:rsidRPr="003438EC">
        <w:rPr>
          <w:szCs w:val="20"/>
        </w:rPr>
        <w:t>Any “</w:t>
      </w:r>
      <w:r w:rsidRPr="007B037C">
        <w:rPr>
          <w:szCs w:val="20"/>
          <w:u w:val="double"/>
        </w:rPr>
        <w:t>research</w:t>
      </w:r>
      <w:r w:rsidRPr="003438EC">
        <w:rPr>
          <w:szCs w:val="20"/>
        </w:rPr>
        <w:t xml:space="preserve">” specimen/data </w:t>
      </w:r>
      <w:r w:rsidRPr="007B037C">
        <w:rPr>
          <w:szCs w:val="20"/>
          <w:u w:val="double"/>
        </w:rPr>
        <w:t>repository</w:t>
      </w:r>
      <w:r w:rsidRPr="003438EC">
        <w:rPr>
          <w:szCs w:val="20"/>
        </w:rPr>
        <w:t xml:space="preserve"> that distributes materials/data requires IRB approval </w:t>
      </w:r>
      <w:r w:rsidRPr="007B037C">
        <w:rPr>
          <w:szCs w:val="20"/>
        </w:rPr>
        <w:t>prior</w:t>
      </w:r>
      <w:r w:rsidRPr="003438EC">
        <w:rPr>
          <w:szCs w:val="20"/>
        </w:rPr>
        <w:t xml:space="preserve"> to the distribution. The </w:t>
      </w:r>
      <w:r w:rsidRPr="007B037C">
        <w:rPr>
          <w:szCs w:val="20"/>
          <w:u w:val="double"/>
        </w:rPr>
        <w:t>investigator</w:t>
      </w:r>
      <w:r w:rsidRPr="003438EC">
        <w:rPr>
          <w:szCs w:val="20"/>
        </w:rPr>
        <w:t xml:space="preserve"> must follow the conditions under which the specimens/data will be shared as described in the IRB initial review application. </w:t>
      </w:r>
    </w:p>
    <w:p w14:paraId="68224C9E" w14:textId="77777777" w:rsidR="003438EC" w:rsidRPr="003438EC" w:rsidRDefault="003438EC" w:rsidP="003438EC">
      <w:pPr>
        <w:pStyle w:val="SOPLevel2"/>
      </w:pPr>
      <w:r w:rsidRPr="003438EC">
        <w:rPr>
          <w:szCs w:val="20"/>
        </w:rPr>
        <w:t xml:space="preserve">These conditions must consider the privacy of the individuals from whom the tissue came, what the informed consent permitted, and the intent of the person to whom the tissue is sent. The recipient of the tissue samples must abide by the conditions specified. </w:t>
      </w:r>
    </w:p>
    <w:p w14:paraId="06E24436" w14:textId="77777777" w:rsidR="003438EC" w:rsidRPr="00995D28" w:rsidRDefault="00995D28" w:rsidP="003438EC">
      <w:pPr>
        <w:pStyle w:val="SOPLevel2"/>
      </w:pPr>
      <w:r>
        <w:rPr>
          <w:szCs w:val="20"/>
        </w:rPr>
        <w:t xml:space="preserve">A gatekeeper or </w:t>
      </w:r>
      <w:r w:rsidRPr="007B037C">
        <w:rPr>
          <w:szCs w:val="20"/>
          <w:u w:val="double"/>
        </w:rPr>
        <w:t>repository</w:t>
      </w:r>
      <w:r>
        <w:rPr>
          <w:szCs w:val="20"/>
        </w:rPr>
        <w:t xml:space="preserve"> director</w:t>
      </w:r>
      <w:r w:rsidR="003438EC" w:rsidRPr="003438EC">
        <w:rPr>
          <w:szCs w:val="20"/>
        </w:rPr>
        <w:t>, established under the IRB guidelines and pursuant to the IRB approval for the repository, should evaluate each request for samples to see if the request is consistent with the IRB's conditions for sharing samples and with the original informed consent</w:t>
      </w:r>
      <w:r>
        <w:rPr>
          <w:szCs w:val="20"/>
        </w:rPr>
        <w:t xml:space="preserve"> and the repository’s policies.</w:t>
      </w:r>
    </w:p>
    <w:p w14:paraId="315F73EE" w14:textId="77777777" w:rsidR="00995D28" w:rsidRPr="003438EC" w:rsidRDefault="00995D28" w:rsidP="003438EC">
      <w:pPr>
        <w:pStyle w:val="SOPLevel2"/>
      </w:pPr>
      <w:r>
        <w:rPr>
          <w:szCs w:val="20"/>
        </w:rPr>
        <w:t xml:space="preserve">The transfer of data to outside collaborators or to external </w:t>
      </w:r>
      <w:r w:rsidRPr="007B037C">
        <w:rPr>
          <w:szCs w:val="20"/>
          <w:u w:val="double"/>
        </w:rPr>
        <w:t>repositories</w:t>
      </w:r>
      <w:r>
        <w:rPr>
          <w:szCs w:val="20"/>
        </w:rPr>
        <w:t xml:space="preserve"> requires a Data Use Agreement or other types of agreements/contracts between the parties involved.</w:t>
      </w:r>
      <w:r w:rsidR="00D83179" w:rsidRPr="00D83179">
        <w:t xml:space="preserve"> </w:t>
      </w:r>
      <w:r w:rsidR="00D83179">
        <w:t>All agreements need to be signed by an authori</w:t>
      </w:r>
      <w:r w:rsidR="00303372">
        <w:t>zed agent of TAMU</w:t>
      </w:r>
      <w:r w:rsidR="00D83179">
        <w:t>.</w:t>
      </w:r>
    </w:p>
    <w:p w14:paraId="35EF40A9" w14:textId="77777777" w:rsidR="003438EC" w:rsidRPr="003438EC" w:rsidRDefault="00995D28" w:rsidP="003438EC">
      <w:pPr>
        <w:pStyle w:val="SOPLevel2"/>
      </w:pPr>
      <w:r>
        <w:rPr>
          <w:szCs w:val="20"/>
        </w:rPr>
        <w:t xml:space="preserve">The transfer of materials to outside </w:t>
      </w:r>
      <w:r w:rsidR="003438EC" w:rsidRPr="003438EC">
        <w:rPr>
          <w:szCs w:val="20"/>
        </w:rPr>
        <w:t xml:space="preserve">collaborators requires the use of Material Transfer Agreements </w:t>
      </w:r>
      <w:r w:rsidR="003438EC" w:rsidRPr="003438EC">
        <w:rPr>
          <w:b/>
          <w:bCs/>
          <w:szCs w:val="20"/>
        </w:rPr>
        <w:t>(</w:t>
      </w:r>
      <w:r w:rsidR="003438EC" w:rsidRPr="003438EC">
        <w:rPr>
          <w:szCs w:val="20"/>
        </w:rPr>
        <w:t>MTA</w:t>
      </w:r>
      <w:r w:rsidR="00303372">
        <w:rPr>
          <w:szCs w:val="20"/>
        </w:rPr>
        <w:t xml:space="preserve">s). </w:t>
      </w:r>
      <w:r w:rsidR="003438EC" w:rsidRPr="003438EC">
        <w:rPr>
          <w:szCs w:val="20"/>
        </w:rPr>
        <w:t xml:space="preserve">MTA protects the intellectual and other property rights of the provider and generally addresses: </w:t>
      </w:r>
    </w:p>
    <w:p w14:paraId="36906D02" w14:textId="77777777" w:rsidR="003438EC" w:rsidRDefault="003438EC" w:rsidP="003438EC">
      <w:pPr>
        <w:pStyle w:val="SOPLevel3"/>
      </w:pPr>
      <w:r w:rsidRPr="003438EC">
        <w:t xml:space="preserve">Limits on the use of the </w:t>
      </w:r>
      <w:r w:rsidRPr="00640403">
        <w:rPr>
          <w:u w:val="double"/>
        </w:rPr>
        <w:t>research</w:t>
      </w:r>
      <w:r w:rsidRPr="003438EC">
        <w:t xml:space="preserve"> materials, inventions, and results </w:t>
      </w:r>
    </w:p>
    <w:p w14:paraId="5DB2C8DB" w14:textId="77777777" w:rsidR="003438EC" w:rsidRPr="003438EC" w:rsidRDefault="003438EC" w:rsidP="003438EC">
      <w:pPr>
        <w:pStyle w:val="SOPLevel3"/>
      </w:pPr>
      <w:r w:rsidRPr="003438EC">
        <w:rPr>
          <w:szCs w:val="20"/>
        </w:rPr>
        <w:t xml:space="preserve">Prohibitions on the redistribution of the material </w:t>
      </w:r>
    </w:p>
    <w:p w14:paraId="2ED05F50" w14:textId="77777777" w:rsidR="003438EC" w:rsidRPr="003438EC" w:rsidRDefault="003438EC" w:rsidP="003438EC">
      <w:pPr>
        <w:pStyle w:val="SOPLevel3"/>
      </w:pPr>
      <w:r w:rsidRPr="003438EC">
        <w:rPr>
          <w:szCs w:val="20"/>
        </w:rPr>
        <w:t xml:space="preserve">Conditions of use, including prohibitions of use in animals or humans </w:t>
      </w:r>
    </w:p>
    <w:p w14:paraId="0AE54D2B" w14:textId="77777777" w:rsidR="003438EC" w:rsidRPr="003438EC" w:rsidRDefault="003438EC" w:rsidP="003438EC">
      <w:pPr>
        <w:pStyle w:val="SOPLevel3"/>
      </w:pPr>
      <w:r w:rsidRPr="003438EC">
        <w:rPr>
          <w:szCs w:val="20"/>
        </w:rPr>
        <w:t xml:space="preserve">Conditions for publication, usually with provisions that the manuscript must be seen by the donor before submission for publication </w:t>
      </w:r>
    </w:p>
    <w:p w14:paraId="19CE1A94" w14:textId="77777777" w:rsidR="003438EC" w:rsidRPr="003438EC" w:rsidRDefault="003438EC" w:rsidP="003438EC">
      <w:pPr>
        <w:pStyle w:val="SOPLevel3"/>
      </w:pPr>
      <w:r w:rsidRPr="003438EC">
        <w:rPr>
          <w:szCs w:val="20"/>
        </w:rPr>
        <w:t xml:space="preserve">A hold-harmless cause, meaning that the donor has no liability resulting from the use of the material </w:t>
      </w:r>
    </w:p>
    <w:p w14:paraId="12DE5CD6" w14:textId="77777777" w:rsidR="003438EC" w:rsidRPr="00303372" w:rsidRDefault="003438EC" w:rsidP="003438EC">
      <w:pPr>
        <w:pStyle w:val="SOPLevel3"/>
        <w:rPr>
          <w:rFonts w:cs="Arial"/>
        </w:rPr>
      </w:pPr>
      <w:r w:rsidRPr="00303372">
        <w:rPr>
          <w:rFonts w:cs="Arial"/>
          <w:szCs w:val="20"/>
        </w:rPr>
        <w:t xml:space="preserve">The return of unused materials. </w:t>
      </w:r>
    </w:p>
    <w:p w14:paraId="779C32A3" w14:textId="4517E05B" w:rsidR="003438EC" w:rsidRPr="00303372" w:rsidRDefault="00303372" w:rsidP="003438EC">
      <w:pPr>
        <w:pStyle w:val="SOPLevel2"/>
        <w:rPr>
          <w:rFonts w:cs="Arial"/>
        </w:rPr>
      </w:pPr>
      <w:r w:rsidRPr="00303372">
        <w:rPr>
          <w:rFonts w:cs="Arial"/>
          <w:color w:val="FF0000"/>
        </w:rPr>
        <w:t xml:space="preserve"> </w:t>
      </w:r>
      <w:proofErr w:type="gramStart"/>
      <w:r w:rsidR="00021831">
        <w:rPr>
          <w:rFonts w:cs="Arial"/>
        </w:rPr>
        <w:t>Research Administration under the Division of Research,</w:t>
      </w:r>
      <w:proofErr w:type="gramEnd"/>
      <w:r w:rsidR="00021831">
        <w:rPr>
          <w:rFonts w:cs="Arial"/>
        </w:rPr>
        <w:t xml:space="preserve"> </w:t>
      </w:r>
      <w:r w:rsidR="003843EC" w:rsidRPr="00303372">
        <w:rPr>
          <w:rFonts w:cs="Arial"/>
        </w:rPr>
        <w:t>coordinates the</w:t>
      </w:r>
      <w:r w:rsidR="00995D28" w:rsidRPr="00303372">
        <w:rPr>
          <w:rFonts w:cs="Arial"/>
        </w:rPr>
        <w:t xml:space="preserve"> </w:t>
      </w:r>
      <w:r w:rsidR="00D83179" w:rsidRPr="00303372">
        <w:rPr>
          <w:rFonts w:cs="Arial"/>
        </w:rPr>
        <w:t>completion o</w:t>
      </w:r>
      <w:r w:rsidR="003438EC" w:rsidRPr="00303372">
        <w:rPr>
          <w:rFonts w:cs="Arial"/>
        </w:rPr>
        <w:t>f MTAs</w:t>
      </w:r>
      <w:r w:rsidR="00D83179" w:rsidRPr="00303372">
        <w:rPr>
          <w:rFonts w:cs="Arial"/>
        </w:rPr>
        <w:t>.</w:t>
      </w:r>
      <w:r w:rsidR="003438EC" w:rsidRPr="00303372">
        <w:rPr>
          <w:rFonts w:cs="Arial"/>
        </w:rPr>
        <w:t xml:space="preserve"> </w:t>
      </w:r>
      <w:r w:rsidR="00D83179" w:rsidRPr="00303372">
        <w:rPr>
          <w:rFonts w:cs="Arial"/>
        </w:rPr>
        <w:t>MTAs need to be signed by</w:t>
      </w:r>
      <w:r>
        <w:rPr>
          <w:rFonts w:cs="Arial"/>
        </w:rPr>
        <w:t xml:space="preserve"> an authorized agent of TAMU</w:t>
      </w:r>
      <w:r w:rsidR="00D83179" w:rsidRPr="00303372">
        <w:rPr>
          <w:rFonts w:cs="Arial"/>
        </w:rPr>
        <w:t>.</w:t>
      </w:r>
    </w:p>
    <w:p w14:paraId="3E4FA08F" w14:textId="77777777" w:rsidR="003438EC" w:rsidRPr="00303372" w:rsidRDefault="003438EC" w:rsidP="003438EC">
      <w:pPr>
        <w:pStyle w:val="SOPLevel1"/>
        <w:rPr>
          <w:rFonts w:cs="Arial"/>
        </w:rPr>
      </w:pPr>
      <w:r w:rsidRPr="00303372">
        <w:rPr>
          <w:rFonts w:cs="Arial"/>
        </w:rPr>
        <w:t xml:space="preserve">RESPONSIBITIES </w:t>
      </w:r>
    </w:p>
    <w:p w14:paraId="0FCF65D8" w14:textId="77777777" w:rsidR="003438EC" w:rsidRDefault="00D83179" w:rsidP="003438EC">
      <w:pPr>
        <w:pStyle w:val="SOPLevel2"/>
      </w:pPr>
      <w:r w:rsidRPr="00303372">
        <w:rPr>
          <w:rFonts w:cs="Arial"/>
        </w:rPr>
        <w:t xml:space="preserve">The </w:t>
      </w:r>
      <w:r w:rsidRPr="00303372">
        <w:rPr>
          <w:rFonts w:cs="Arial"/>
          <w:u w:val="double"/>
        </w:rPr>
        <w:t>investigator</w:t>
      </w:r>
      <w:r w:rsidR="003438EC" w:rsidRPr="00303372">
        <w:rPr>
          <w:rFonts w:cs="Arial"/>
        </w:rPr>
        <w:t xml:space="preserve"> should ensure these</w:t>
      </w:r>
      <w:r w:rsidR="003438EC" w:rsidRPr="003438EC">
        <w:t xml:space="preserve"> procedures are carried out to ensure safe and proper usage of </w:t>
      </w:r>
      <w:r w:rsidR="003438EC" w:rsidRPr="00640403">
        <w:rPr>
          <w:u w:val="double"/>
        </w:rPr>
        <w:t>repositories</w:t>
      </w:r>
      <w:r w:rsidR="003438EC">
        <w:t xml:space="preserve"> and banking of specimens/data.</w:t>
      </w:r>
    </w:p>
    <w:p w14:paraId="2282C56B" w14:textId="77777777" w:rsidR="003438EC" w:rsidRDefault="003438EC" w:rsidP="003438EC">
      <w:pPr>
        <w:pStyle w:val="SOPLevel1"/>
      </w:pPr>
      <w:r w:rsidRPr="003438EC">
        <w:t xml:space="preserve"> PROCEDURE </w:t>
      </w:r>
    </w:p>
    <w:p w14:paraId="0DDC6B52" w14:textId="77777777" w:rsidR="003438EC" w:rsidRDefault="003438EC" w:rsidP="003438EC">
      <w:pPr>
        <w:pStyle w:val="SOPLevel2"/>
      </w:pPr>
      <w:r w:rsidRPr="003438EC">
        <w:t xml:space="preserve">The following procedure should be followed when </w:t>
      </w:r>
      <w:r w:rsidR="006A1C9E">
        <w:t xml:space="preserve">establishing a </w:t>
      </w:r>
      <w:r w:rsidR="006A1C9E" w:rsidRPr="00640403">
        <w:rPr>
          <w:u w:val="double"/>
        </w:rPr>
        <w:t>repository</w:t>
      </w:r>
      <w:r w:rsidR="003A2C26">
        <w:t xml:space="preserve"> at TAMU</w:t>
      </w:r>
      <w:r w:rsidRPr="003438EC">
        <w:t xml:space="preserve">. </w:t>
      </w:r>
    </w:p>
    <w:p w14:paraId="5C0DED46" w14:textId="77777777" w:rsidR="003438EC" w:rsidRDefault="003438EC" w:rsidP="003438EC">
      <w:pPr>
        <w:pStyle w:val="SOPLevel3"/>
      </w:pPr>
      <w:r w:rsidRPr="003438EC">
        <w:t xml:space="preserve">The </w:t>
      </w:r>
      <w:r w:rsidRPr="00640403">
        <w:rPr>
          <w:u w:val="double"/>
        </w:rPr>
        <w:t>investigator</w:t>
      </w:r>
      <w:r w:rsidR="006A1C9E">
        <w:t xml:space="preserve"> is to develop written policies and procedures </w:t>
      </w:r>
      <w:r w:rsidRPr="003438EC">
        <w:t>on operating and managing the</w:t>
      </w:r>
      <w:r w:rsidR="006A1C9E">
        <w:t xml:space="preserve"> </w:t>
      </w:r>
      <w:r w:rsidR="006A1C9E" w:rsidRPr="00640403">
        <w:rPr>
          <w:u w:val="double"/>
        </w:rPr>
        <w:t>repository</w:t>
      </w:r>
      <w:r w:rsidR="006A1C9E">
        <w:t>. The policies and procedures are to be provided to the IRB as part of the initial application.</w:t>
      </w:r>
    </w:p>
    <w:p w14:paraId="1D547105" w14:textId="77777777" w:rsidR="003438EC" w:rsidRPr="003438EC" w:rsidRDefault="003A2C26" w:rsidP="003438EC">
      <w:pPr>
        <w:pStyle w:val="SOPLevel3"/>
      </w:pPr>
      <w:r>
        <w:rPr>
          <w:szCs w:val="20"/>
        </w:rPr>
        <w:t>The following information</w:t>
      </w:r>
      <w:r w:rsidR="003438EC" w:rsidRPr="003438EC">
        <w:rPr>
          <w:szCs w:val="20"/>
        </w:rPr>
        <w:t xml:space="preserve"> mu</w:t>
      </w:r>
      <w:r w:rsidR="006A1C9E">
        <w:rPr>
          <w:szCs w:val="20"/>
        </w:rPr>
        <w:t>st be included with the</w:t>
      </w:r>
      <w:r w:rsidR="006A1C9E" w:rsidRPr="006A1C9E">
        <w:t xml:space="preserve"> </w:t>
      </w:r>
      <w:proofErr w:type="gramStart"/>
      <w:r>
        <w:t xml:space="preserve">application </w:t>
      </w:r>
      <w:r w:rsidR="006A1C9E">
        <w:t>)</w:t>
      </w:r>
      <w:proofErr w:type="gramEnd"/>
      <w:r w:rsidR="006A1C9E">
        <w:t>.</w:t>
      </w:r>
    </w:p>
    <w:p w14:paraId="4B809772" w14:textId="77777777" w:rsidR="003438EC" w:rsidRDefault="003438EC" w:rsidP="003438EC">
      <w:pPr>
        <w:pStyle w:val="SOPLevel4"/>
      </w:pPr>
      <w:r w:rsidRPr="003438EC">
        <w:t xml:space="preserve">Purpose of the </w:t>
      </w:r>
      <w:r w:rsidRPr="00640403">
        <w:rPr>
          <w:u w:val="double"/>
        </w:rPr>
        <w:t>repository</w:t>
      </w:r>
      <w:r w:rsidRPr="003438EC">
        <w:t xml:space="preserve"> </w:t>
      </w:r>
    </w:p>
    <w:p w14:paraId="1F3EC6F5" w14:textId="77777777" w:rsidR="003438EC" w:rsidRPr="003438EC" w:rsidRDefault="003438EC" w:rsidP="003438EC">
      <w:pPr>
        <w:pStyle w:val="SOPLevel4"/>
      </w:pPr>
      <w:r w:rsidRPr="003438EC">
        <w:rPr>
          <w:szCs w:val="20"/>
        </w:rPr>
        <w:t xml:space="preserve">Specimen and data collection procedures </w:t>
      </w:r>
    </w:p>
    <w:p w14:paraId="466376FA" w14:textId="77777777" w:rsidR="003438EC" w:rsidRPr="003438EC" w:rsidRDefault="003438EC" w:rsidP="003438EC">
      <w:pPr>
        <w:pStyle w:val="SOPLevel4"/>
      </w:pPr>
      <w:r w:rsidRPr="003438EC">
        <w:rPr>
          <w:szCs w:val="20"/>
        </w:rPr>
        <w:lastRenderedPageBreak/>
        <w:t xml:space="preserve">Specimen and data storage/retention </w:t>
      </w:r>
    </w:p>
    <w:p w14:paraId="70D823B8" w14:textId="77777777" w:rsidR="003438EC" w:rsidRPr="003438EC" w:rsidRDefault="003438EC" w:rsidP="003438EC">
      <w:pPr>
        <w:pStyle w:val="SOPLevel4"/>
      </w:pPr>
      <w:r w:rsidRPr="003438EC">
        <w:rPr>
          <w:szCs w:val="20"/>
        </w:rPr>
        <w:t xml:space="preserve">Specimen derivation and processing </w:t>
      </w:r>
    </w:p>
    <w:p w14:paraId="2EDF2DF3" w14:textId="77777777" w:rsidR="003438EC" w:rsidRPr="003438EC" w:rsidRDefault="003438EC" w:rsidP="003438EC">
      <w:pPr>
        <w:pStyle w:val="SOPLevel4"/>
      </w:pPr>
      <w:r w:rsidRPr="003438EC">
        <w:rPr>
          <w:szCs w:val="20"/>
        </w:rPr>
        <w:t xml:space="preserve">Specimen and data distribution </w:t>
      </w:r>
    </w:p>
    <w:p w14:paraId="42F29087" w14:textId="77777777" w:rsidR="003438EC" w:rsidRPr="003438EC" w:rsidRDefault="003438EC" w:rsidP="003438EC">
      <w:pPr>
        <w:pStyle w:val="SOPLevel4"/>
      </w:pPr>
      <w:r w:rsidRPr="003438EC">
        <w:rPr>
          <w:szCs w:val="20"/>
        </w:rPr>
        <w:t xml:space="preserve">Obtaining informed consent </w:t>
      </w:r>
    </w:p>
    <w:p w14:paraId="6E9F6F4B" w14:textId="77777777" w:rsidR="003438EC" w:rsidRPr="003438EC" w:rsidRDefault="003438EC" w:rsidP="003438EC">
      <w:pPr>
        <w:pStyle w:val="SOPLevel4"/>
      </w:pPr>
      <w:r w:rsidRPr="003438EC">
        <w:rPr>
          <w:szCs w:val="20"/>
        </w:rPr>
        <w:t xml:space="preserve">Procedures for protecting privacy and confidentiality (for example, anonymization of specimens/data, coding of specimens/data, encryption, limited access/secure storage) </w:t>
      </w:r>
    </w:p>
    <w:p w14:paraId="757D91CB" w14:textId="77777777" w:rsidR="003438EC" w:rsidRPr="003438EC" w:rsidRDefault="006A1C9E" w:rsidP="003438EC">
      <w:pPr>
        <w:pStyle w:val="SOPLevel4"/>
      </w:pPr>
      <w:r>
        <w:rPr>
          <w:szCs w:val="20"/>
        </w:rPr>
        <w:t>C</w:t>
      </w:r>
      <w:r w:rsidR="003438EC" w:rsidRPr="003438EC">
        <w:rPr>
          <w:szCs w:val="20"/>
        </w:rPr>
        <w:t>onfidentiality measure</w:t>
      </w:r>
      <w:r>
        <w:rPr>
          <w:szCs w:val="20"/>
        </w:rPr>
        <w:t>s</w:t>
      </w:r>
    </w:p>
    <w:p w14:paraId="6D4F1B32" w14:textId="77777777" w:rsidR="003438EC" w:rsidRPr="003438EC" w:rsidRDefault="003438EC" w:rsidP="003438EC">
      <w:pPr>
        <w:pStyle w:val="SOPLevel4"/>
      </w:pPr>
      <w:r w:rsidRPr="003438EC">
        <w:rPr>
          <w:szCs w:val="20"/>
        </w:rPr>
        <w:t>Procedures for return of research results</w:t>
      </w:r>
      <w:r>
        <w:rPr>
          <w:szCs w:val="20"/>
        </w:rPr>
        <w:t xml:space="preserve"> (if and under what conditions)</w:t>
      </w:r>
    </w:p>
    <w:p w14:paraId="0ED33026" w14:textId="77777777" w:rsidR="003438EC" w:rsidRPr="003438EC" w:rsidRDefault="003438EC" w:rsidP="003438EC">
      <w:pPr>
        <w:pStyle w:val="SOPLevel4"/>
      </w:pPr>
      <w:r w:rsidRPr="00640403">
        <w:rPr>
          <w:szCs w:val="20"/>
          <w:u w:val="double"/>
        </w:rPr>
        <w:t>Repository</w:t>
      </w:r>
      <w:r w:rsidRPr="003438EC">
        <w:rPr>
          <w:szCs w:val="20"/>
        </w:rPr>
        <w:t xml:space="preserve"> oversight </w:t>
      </w:r>
    </w:p>
    <w:p w14:paraId="56EAD355" w14:textId="77777777" w:rsidR="003438EC" w:rsidRPr="003438EC" w:rsidRDefault="006A1C9E" w:rsidP="003438EC">
      <w:pPr>
        <w:pStyle w:val="SOPLevel4"/>
      </w:pPr>
      <w:r>
        <w:rPr>
          <w:szCs w:val="20"/>
        </w:rPr>
        <w:t xml:space="preserve">Model </w:t>
      </w:r>
      <w:r w:rsidR="003438EC" w:rsidRPr="003438EC">
        <w:rPr>
          <w:szCs w:val="20"/>
        </w:rPr>
        <w:t xml:space="preserve">informed consents for </w:t>
      </w:r>
      <w:r w:rsidR="003438EC" w:rsidRPr="00640403">
        <w:rPr>
          <w:szCs w:val="20"/>
          <w:u w:val="double"/>
        </w:rPr>
        <w:t>subjects</w:t>
      </w:r>
      <w:r w:rsidR="003438EC">
        <w:rPr>
          <w:szCs w:val="20"/>
        </w:rPr>
        <w:t xml:space="preserve"> contributing to the repository</w:t>
      </w:r>
    </w:p>
    <w:p w14:paraId="09BA4032" w14:textId="77777777" w:rsidR="00B23CA1" w:rsidRPr="00B23CA1" w:rsidRDefault="006A1C9E" w:rsidP="00B23CA1">
      <w:pPr>
        <w:pStyle w:val="SOPLevel4"/>
      </w:pPr>
      <w:r>
        <w:rPr>
          <w:szCs w:val="20"/>
        </w:rPr>
        <w:t xml:space="preserve">Model </w:t>
      </w:r>
      <w:r w:rsidR="003438EC" w:rsidRPr="003438EC">
        <w:rPr>
          <w:szCs w:val="20"/>
        </w:rPr>
        <w:t xml:space="preserve">agreements for </w:t>
      </w:r>
      <w:r w:rsidR="003438EC" w:rsidRPr="00640403">
        <w:rPr>
          <w:szCs w:val="20"/>
          <w:u w:val="double"/>
        </w:rPr>
        <w:t>investigators</w:t>
      </w:r>
      <w:r w:rsidR="003438EC" w:rsidRPr="003438EC">
        <w:rPr>
          <w:szCs w:val="20"/>
        </w:rPr>
        <w:t xml:space="preserve"> collecting tissues for the </w:t>
      </w:r>
      <w:r w:rsidR="003438EC" w:rsidRPr="00640403">
        <w:rPr>
          <w:szCs w:val="20"/>
          <w:u w:val="double"/>
        </w:rPr>
        <w:t xml:space="preserve">repository </w:t>
      </w:r>
      <w:r w:rsidR="003438EC" w:rsidRPr="003438EC">
        <w:rPr>
          <w:szCs w:val="20"/>
        </w:rPr>
        <w:t xml:space="preserve">and for investigators receiving tissues from the repository. These agreements should address use of specimens/data, </w:t>
      </w:r>
      <w:r w:rsidR="003438EC" w:rsidRPr="00640403">
        <w:rPr>
          <w:szCs w:val="20"/>
          <w:u w:val="double"/>
        </w:rPr>
        <w:t>human subject</w:t>
      </w:r>
      <w:r w:rsidR="003438EC" w:rsidRPr="003438EC">
        <w:rPr>
          <w:szCs w:val="20"/>
        </w:rPr>
        <w:t xml:space="preserve"> protections, sharing of specimens with third parties, commercial use of specimens, biohazards, and indemnification. </w:t>
      </w:r>
    </w:p>
    <w:p w14:paraId="493D693F" w14:textId="77777777" w:rsidR="00B23CA1" w:rsidRPr="00B23CA1" w:rsidRDefault="003438EC" w:rsidP="003438EC">
      <w:pPr>
        <w:pStyle w:val="SOPLevel4"/>
      </w:pPr>
      <w:r w:rsidRPr="00B23CA1">
        <w:rPr>
          <w:szCs w:val="20"/>
        </w:rPr>
        <w:t xml:space="preserve">A plan for the disclosure of clinically relevant results/incidental findings including the mechanism for evaluating whether the results of </w:t>
      </w:r>
      <w:r w:rsidRPr="005608D5">
        <w:rPr>
          <w:szCs w:val="20"/>
          <w:u w:val="double"/>
        </w:rPr>
        <w:t xml:space="preserve">research </w:t>
      </w:r>
      <w:r w:rsidRPr="00B23CA1">
        <w:rPr>
          <w:szCs w:val="20"/>
        </w:rPr>
        <w:t xml:space="preserve">testing are clinically relevant and might warrant disclosure to the </w:t>
      </w:r>
      <w:r w:rsidRPr="005608D5">
        <w:rPr>
          <w:szCs w:val="20"/>
          <w:u w:val="double"/>
        </w:rPr>
        <w:t>research</w:t>
      </w:r>
      <w:r w:rsidRPr="00B23CA1">
        <w:rPr>
          <w:szCs w:val="20"/>
        </w:rPr>
        <w:t xml:space="preserve"> </w:t>
      </w:r>
      <w:r w:rsidRPr="005608D5">
        <w:rPr>
          <w:szCs w:val="20"/>
          <w:u w:val="double"/>
        </w:rPr>
        <w:t>participants</w:t>
      </w:r>
      <w:r w:rsidRPr="00B23CA1">
        <w:rPr>
          <w:szCs w:val="20"/>
        </w:rPr>
        <w:t xml:space="preserve">. A mechanism for disclosure to participants of clinically relevant results/incidental findings to be included. </w:t>
      </w:r>
    </w:p>
    <w:p w14:paraId="53FB80BC" w14:textId="77777777" w:rsidR="00B23CA1" w:rsidRPr="00B23CA1" w:rsidRDefault="003438EC" w:rsidP="00B23CA1">
      <w:pPr>
        <w:pStyle w:val="SOPLevel4"/>
      </w:pPr>
      <w:r w:rsidRPr="00B23CA1">
        <w:rPr>
          <w:szCs w:val="20"/>
        </w:rPr>
        <w:t xml:space="preserve">A Certificate of Confidentiality, if needed. Certificates of Confidentiality are issued by the National Institutes of Health to protect identifiable research information from forced disclosure. Certificates of Confidentiality may be granted for studies collecting information that, if disclosed, could have adverse consequences for subjects or damage their financial standing, employability, insurability, or reputation. Additional information is available at the NIH Certificate of Confidentiality Kiosk web site. </w:t>
      </w:r>
    </w:p>
    <w:p w14:paraId="728686E2" w14:textId="77777777" w:rsidR="00B23CA1" w:rsidRDefault="003438EC" w:rsidP="00B23CA1">
      <w:pPr>
        <w:pStyle w:val="SOPLevel3"/>
      </w:pPr>
      <w:r w:rsidRPr="00B23CA1">
        <w:t xml:space="preserve">If the experimental design allows it, all identifiers should be stripped from the stored samples or data, such that they can never be traced to the individual </w:t>
      </w:r>
    </w:p>
    <w:p w14:paraId="2DF17D18" w14:textId="77777777" w:rsidR="00B23CA1" w:rsidRPr="00B23CA1" w:rsidRDefault="003438EC" w:rsidP="00B23CA1">
      <w:pPr>
        <w:pStyle w:val="SOPLevel3"/>
      </w:pPr>
      <w:r w:rsidRPr="00B23CA1">
        <w:rPr>
          <w:szCs w:val="20"/>
        </w:rPr>
        <w:t xml:space="preserve">If the experimental design requires that the specimens/data be referable back to an individual subject, retention creates a durable confidentiality risk that must be both controlled and disclosed. </w:t>
      </w:r>
    </w:p>
    <w:p w14:paraId="2458D843" w14:textId="77777777" w:rsidR="00B23CA1" w:rsidRPr="00B23CA1" w:rsidRDefault="003438EC" w:rsidP="003438EC">
      <w:pPr>
        <w:pStyle w:val="SOPLevel3"/>
      </w:pPr>
      <w:r w:rsidRPr="00B23CA1">
        <w:rPr>
          <w:szCs w:val="20"/>
        </w:rPr>
        <w:t xml:space="preserve">Storage with easily traceable identifiers such as patient names, initials, social security numbers, or medical record numbers is almost never appropriate. An additional safeguard for maintaining confidentiality while retaining a link is to use </w:t>
      </w:r>
      <w:r w:rsidR="00935C77">
        <w:rPr>
          <w:szCs w:val="20"/>
        </w:rPr>
        <w:t xml:space="preserve">a </w:t>
      </w:r>
      <w:r w:rsidR="00935C77" w:rsidRPr="005608D5">
        <w:rPr>
          <w:szCs w:val="20"/>
          <w:u w:val="double"/>
        </w:rPr>
        <w:t>code</w:t>
      </w:r>
      <w:r w:rsidR="00935C77">
        <w:rPr>
          <w:szCs w:val="20"/>
        </w:rPr>
        <w:t xml:space="preserve"> in place of identifiers and retaining a master list that provides a key to the </w:t>
      </w:r>
      <w:r w:rsidR="00935C77" w:rsidRPr="005608D5">
        <w:rPr>
          <w:szCs w:val="20"/>
          <w:u w:val="double"/>
        </w:rPr>
        <w:t>code</w:t>
      </w:r>
      <w:r w:rsidR="00935C77">
        <w:rPr>
          <w:szCs w:val="20"/>
        </w:rPr>
        <w:t>.</w:t>
      </w:r>
    </w:p>
    <w:p w14:paraId="7F6D544F" w14:textId="77777777" w:rsidR="00FE17F6" w:rsidRDefault="003438EC" w:rsidP="00FE17F6">
      <w:pPr>
        <w:pStyle w:val="SOPLevel1"/>
      </w:pPr>
      <w:r w:rsidRPr="00B23CA1">
        <w:t xml:space="preserve">MATERIALS </w:t>
      </w:r>
    </w:p>
    <w:p w14:paraId="20484FF7" w14:textId="42F1365E" w:rsidR="00935C77" w:rsidRDefault="003A2C26" w:rsidP="00FE17F6">
      <w:pPr>
        <w:pStyle w:val="SOPLevel2"/>
      </w:pPr>
      <w:r>
        <w:t>IRB electronic Application</w:t>
      </w:r>
      <w:r w:rsidR="00FE17F6">
        <w:tab/>
      </w:r>
      <w:r w:rsidR="00FE17F6">
        <w:tab/>
      </w:r>
    </w:p>
    <w:p w14:paraId="1130748D" w14:textId="77777777" w:rsidR="00B23CA1" w:rsidRDefault="003438EC" w:rsidP="003438EC">
      <w:pPr>
        <w:pStyle w:val="SOPLevel1"/>
      </w:pPr>
      <w:r w:rsidRPr="00B23CA1">
        <w:t xml:space="preserve">REFERENCES: </w:t>
      </w:r>
    </w:p>
    <w:p w14:paraId="0AF3F315" w14:textId="77777777" w:rsidR="003438EC" w:rsidRDefault="003438EC" w:rsidP="00B23CA1">
      <w:pPr>
        <w:pStyle w:val="SOPLevel2"/>
      </w:pPr>
      <w:r w:rsidRPr="00B23CA1">
        <w:t xml:space="preserve">NIH Certificate of Confidentiality Kiosk web site </w:t>
      </w:r>
    </w:p>
    <w:p w14:paraId="4BC12666" w14:textId="77777777" w:rsidR="00B323C9" w:rsidRPr="00B23CA1" w:rsidRDefault="00B323C9" w:rsidP="00B23CA1">
      <w:pPr>
        <w:pStyle w:val="SOPLevel2"/>
      </w:pPr>
      <w:r>
        <w:t>AAHRPP</w:t>
      </w:r>
      <w:r w:rsidR="00283D2A">
        <w:t xml:space="preserve"> II.3.E</w:t>
      </w:r>
    </w:p>
    <w:p w14:paraId="4BEAF29E" w14:textId="77777777" w:rsidR="003438EC" w:rsidRDefault="003438EC"/>
    <w:sectPr w:rsidR="003438E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618B" w14:textId="77777777" w:rsidR="008F4FBB" w:rsidRDefault="008F4FBB" w:rsidP="00A24DB2">
      <w:r>
        <w:separator/>
      </w:r>
    </w:p>
  </w:endnote>
  <w:endnote w:type="continuationSeparator" w:id="0">
    <w:p w14:paraId="5C79A216" w14:textId="77777777" w:rsidR="008F4FBB" w:rsidRDefault="008F4FBB" w:rsidP="00A2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1BC9" w14:textId="77777777" w:rsidR="008F4FBB" w:rsidRDefault="008F4FBB" w:rsidP="00A24DB2">
      <w:r>
        <w:separator/>
      </w:r>
    </w:p>
  </w:footnote>
  <w:footnote w:type="continuationSeparator" w:id="0">
    <w:p w14:paraId="3C9E9E9C" w14:textId="77777777" w:rsidR="008F4FBB" w:rsidRDefault="008F4FBB" w:rsidP="00A24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3"/>
      <w:gridCol w:w="1975"/>
      <w:gridCol w:w="2154"/>
      <w:gridCol w:w="2111"/>
    </w:tblGrid>
    <w:tr w:rsidR="001010A0" w14:paraId="58DFF9AE" w14:textId="77777777" w:rsidTr="001010A0">
      <w:trPr>
        <w:cantSplit/>
        <w:trHeight w:val="342"/>
      </w:trPr>
      <w:tc>
        <w:tcPr>
          <w:tcW w:w="3202" w:type="dxa"/>
          <w:vMerge w:val="restart"/>
          <w:tcBorders>
            <w:top w:val="single" w:sz="8" w:space="0" w:color="auto"/>
            <w:left w:val="single" w:sz="8" w:space="0" w:color="auto"/>
            <w:bottom w:val="single" w:sz="8" w:space="0" w:color="auto"/>
            <w:right w:val="single" w:sz="8" w:space="0" w:color="auto"/>
          </w:tcBorders>
          <w:hideMark/>
        </w:tcPr>
        <w:p w14:paraId="76F5DA40" w14:textId="77777777" w:rsidR="001010A0" w:rsidRDefault="001010A0" w:rsidP="001010A0">
          <w:pPr>
            <w:rPr>
              <w:rFonts w:ascii="Arial" w:hAnsi="Arial" w:cs="Arial"/>
              <w:sz w:val="20"/>
              <w:szCs w:val="20"/>
            </w:rPr>
          </w:pPr>
          <w:r>
            <w:rPr>
              <w:noProof/>
              <w:sz w:val="22"/>
              <w:szCs w:val="22"/>
            </w:rPr>
            <w:drawing>
              <wp:anchor distT="0" distB="0" distL="114300" distR="114300" simplePos="0" relativeHeight="251658240" behindDoc="1" locked="0" layoutInCell="1" allowOverlap="1" wp14:anchorId="45DB05ED" wp14:editId="7E7F2664">
                <wp:simplePos x="0" y="0"/>
                <wp:positionH relativeFrom="column">
                  <wp:posOffset>50165</wp:posOffset>
                </wp:positionH>
                <wp:positionV relativeFrom="paragraph">
                  <wp:posOffset>113030</wp:posOffset>
                </wp:positionV>
                <wp:extent cx="1752600" cy="473710"/>
                <wp:effectExtent l="0" t="0" r="0" b="2540"/>
                <wp:wrapTight wrapText="bothSides">
                  <wp:wrapPolygon edited="0">
                    <wp:start x="0" y="0"/>
                    <wp:lineTo x="0" y="20847"/>
                    <wp:lineTo x="21365" y="20847"/>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3710"/>
                        </a:xfrm>
                        <a:prstGeom prst="rect">
                          <a:avLst/>
                        </a:prstGeom>
                        <a:noFill/>
                      </pic:spPr>
                    </pic:pic>
                  </a:graphicData>
                </a:graphic>
                <wp14:sizeRelH relativeFrom="margin">
                  <wp14:pctWidth>0</wp14:pctWidth>
                </wp14:sizeRelH>
                <wp14:sizeRelV relativeFrom="margin">
                  <wp14:pctHeight>0</wp14:pctHeight>
                </wp14:sizeRelV>
              </wp:anchor>
            </w:drawing>
          </w:r>
        </w:p>
      </w:tc>
      <w:tc>
        <w:tcPr>
          <w:tcW w:w="6257" w:type="dxa"/>
          <w:gridSpan w:val="3"/>
          <w:tcBorders>
            <w:top w:val="single" w:sz="8" w:space="0" w:color="auto"/>
            <w:left w:val="single" w:sz="8" w:space="0" w:color="auto"/>
            <w:bottom w:val="single" w:sz="8" w:space="0" w:color="auto"/>
            <w:right w:val="single" w:sz="8" w:space="0" w:color="auto"/>
          </w:tcBorders>
          <w:vAlign w:val="center"/>
          <w:hideMark/>
        </w:tcPr>
        <w:p w14:paraId="50C2B67F" w14:textId="77777777" w:rsidR="001010A0" w:rsidRDefault="001010A0" w:rsidP="001010A0">
          <w:pPr>
            <w:rPr>
              <w:rFonts w:ascii="Arial" w:hAnsi="Arial" w:cs="Arial"/>
              <w:b/>
              <w:sz w:val="20"/>
              <w:szCs w:val="20"/>
            </w:rPr>
          </w:pPr>
          <w:r>
            <w:rPr>
              <w:rFonts w:ascii="Arial" w:hAnsi="Arial" w:cs="Arial"/>
              <w:b/>
              <w:sz w:val="20"/>
              <w:szCs w:val="20"/>
            </w:rPr>
            <w:t>SOP: Repositories:  Banking of Identifiable Specimens or Data</w:t>
          </w:r>
        </w:p>
      </w:tc>
    </w:tr>
    <w:tr w:rsidR="001010A0" w14:paraId="5915934F" w14:textId="77777777" w:rsidTr="001010A0">
      <w:trPr>
        <w:cantSplit/>
        <w:trHeight w:val="185"/>
      </w:trPr>
      <w:tc>
        <w:tcPr>
          <w:tcW w:w="3202" w:type="dxa"/>
          <w:vMerge/>
          <w:tcBorders>
            <w:top w:val="single" w:sz="8" w:space="0" w:color="auto"/>
            <w:left w:val="single" w:sz="8" w:space="0" w:color="auto"/>
            <w:bottom w:val="single" w:sz="8" w:space="0" w:color="auto"/>
            <w:right w:val="single" w:sz="8" w:space="0" w:color="auto"/>
          </w:tcBorders>
          <w:vAlign w:val="center"/>
          <w:hideMark/>
        </w:tcPr>
        <w:p w14:paraId="237A765C" w14:textId="77777777" w:rsidR="001010A0" w:rsidRDefault="001010A0" w:rsidP="001010A0">
          <w:pPr>
            <w:rPr>
              <w:rFonts w:ascii="Arial" w:hAnsi="Arial" w:cs="Arial"/>
              <w:sz w:val="20"/>
              <w:szCs w:val="20"/>
            </w:rPr>
          </w:pPr>
        </w:p>
      </w:tc>
      <w:tc>
        <w:tcPr>
          <w:tcW w:w="1980" w:type="dxa"/>
          <w:tcBorders>
            <w:top w:val="single" w:sz="8" w:space="0" w:color="auto"/>
            <w:left w:val="single" w:sz="8" w:space="0" w:color="auto"/>
            <w:bottom w:val="single" w:sz="8" w:space="0" w:color="auto"/>
            <w:right w:val="single" w:sz="8" w:space="0" w:color="auto"/>
          </w:tcBorders>
          <w:vAlign w:val="center"/>
          <w:hideMark/>
        </w:tcPr>
        <w:p w14:paraId="2C1B5B59" w14:textId="77777777" w:rsidR="001010A0" w:rsidRDefault="001010A0" w:rsidP="001010A0">
          <w:pPr>
            <w:jc w:val="center"/>
            <w:rPr>
              <w:rFonts w:ascii="Arial" w:hAnsi="Arial" w:cs="Arial"/>
              <w:sz w:val="20"/>
              <w:szCs w:val="20"/>
            </w:rPr>
          </w:pPr>
          <w:r>
            <w:rPr>
              <w:rFonts w:ascii="Arial" w:hAnsi="Arial" w:cs="Arial"/>
              <w:sz w:val="20"/>
              <w:szCs w:val="20"/>
            </w:rPr>
            <w:t>NUMBER</w:t>
          </w:r>
        </w:p>
      </w:tc>
      <w:tc>
        <w:tcPr>
          <w:tcW w:w="2160" w:type="dxa"/>
          <w:tcBorders>
            <w:top w:val="single" w:sz="8" w:space="0" w:color="auto"/>
            <w:left w:val="single" w:sz="8" w:space="0" w:color="auto"/>
            <w:bottom w:val="single" w:sz="8" w:space="0" w:color="auto"/>
            <w:right w:val="single" w:sz="8" w:space="0" w:color="auto"/>
          </w:tcBorders>
          <w:vAlign w:val="center"/>
          <w:hideMark/>
        </w:tcPr>
        <w:p w14:paraId="308C3A74" w14:textId="77777777" w:rsidR="001010A0" w:rsidRDefault="001010A0" w:rsidP="001010A0">
          <w:pPr>
            <w:jc w:val="center"/>
            <w:rPr>
              <w:rFonts w:ascii="Arial" w:hAnsi="Arial" w:cs="Arial"/>
              <w:sz w:val="20"/>
              <w:szCs w:val="20"/>
            </w:rPr>
          </w:pPr>
          <w:r>
            <w:rPr>
              <w:rFonts w:ascii="Arial" w:hAnsi="Arial" w:cs="Arial"/>
              <w:sz w:val="20"/>
              <w:szCs w:val="20"/>
            </w:rPr>
            <w:t>DATE</w:t>
          </w:r>
        </w:p>
      </w:tc>
      <w:tc>
        <w:tcPr>
          <w:tcW w:w="2117" w:type="dxa"/>
          <w:tcBorders>
            <w:top w:val="single" w:sz="8" w:space="0" w:color="auto"/>
            <w:left w:val="single" w:sz="8" w:space="0" w:color="auto"/>
            <w:bottom w:val="single" w:sz="8" w:space="0" w:color="auto"/>
            <w:right w:val="single" w:sz="8" w:space="0" w:color="auto"/>
          </w:tcBorders>
          <w:vAlign w:val="center"/>
          <w:hideMark/>
        </w:tcPr>
        <w:p w14:paraId="0EAB34CF" w14:textId="77777777" w:rsidR="001010A0" w:rsidRDefault="001010A0" w:rsidP="001010A0">
          <w:pPr>
            <w:jc w:val="center"/>
            <w:rPr>
              <w:rFonts w:ascii="Arial" w:hAnsi="Arial" w:cs="Arial"/>
              <w:sz w:val="20"/>
              <w:szCs w:val="20"/>
            </w:rPr>
          </w:pPr>
          <w:r>
            <w:rPr>
              <w:rFonts w:ascii="Arial" w:hAnsi="Arial" w:cs="Arial"/>
              <w:sz w:val="20"/>
              <w:szCs w:val="20"/>
            </w:rPr>
            <w:t>PAGE</w:t>
          </w:r>
        </w:p>
      </w:tc>
    </w:tr>
    <w:tr w:rsidR="001010A0" w14:paraId="461461DC" w14:textId="77777777" w:rsidTr="001010A0">
      <w:trPr>
        <w:cantSplit/>
        <w:trHeight w:val="403"/>
      </w:trPr>
      <w:tc>
        <w:tcPr>
          <w:tcW w:w="3202" w:type="dxa"/>
          <w:vMerge/>
          <w:tcBorders>
            <w:top w:val="single" w:sz="8" w:space="0" w:color="auto"/>
            <w:left w:val="single" w:sz="8" w:space="0" w:color="auto"/>
            <w:bottom w:val="single" w:sz="8" w:space="0" w:color="auto"/>
            <w:right w:val="single" w:sz="8" w:space="0" w:color="auto"/>
          </w:tcBorders>
          <w:vAlign w:val="center"/>
          <w:hideMark/>
        </w:tcPr>
        <w:p w14:paraId="2BC11AB0" w14:textId="77777777" w:rsidR="001010A0" w:rsidRDefault="001010A0" w:rsidP="001010A0">
          <w:pPr>
            <w:rPr>
              <w:rFonts w:ascii="Arial" w:hAnsi="Arial" w:cs="Arial"/>
              <w:sz w:val="20"/>
              <w:szCs w:val="20"/>
            </w:rPr>
          </w:pPr>
        </w:p>
      </w:tc>
      <w:tc>
        <w:tcPr>
          <w:tcW w:w="1980" w:type="dxa"/>
          <w:tcBorders>
            <w:top w:val="single" w:sz="8" w:space="0" w:color="auto"/>
            <w:left w:val="single" w:sz="8" w:space="0" w:color="auto"/>
            <w:bottom w:val="single" w:sz="8" w:space="0" w:color="auto"/>
            <w:right w:val="single" w:sz="8" w:space="0" w:color="auto"/>
          </w:tcBorders>
          <w:vAlign w:val="center"/>
          <w:hideMark/>
        </w:tcPr>
        <w:p w14:paraId="2A299560" w14:textId="77777777" w:rsidR="001010A0" w:rsidRDefault="001010A0" w:rsidP="001010A0">
          <w:pPr>
            <w:jc w:val="center"/>
            <w:rPr>
              <w:rFonts w:ascii="Arial" w:hAnsi="Arial" w:cs="Arial"/>
              <w:sz w:val="20"/>
              <w:szCs w:val="20"/>
            </w:rPr>
          </w:pPr>
          <w:r>
            <w:rPr>
              <w:rFonts w:ascii="Arial" w:hAnsi="Arial" w:cs="Arial"/>
              <w:sz w:val="20"/>
              <w:szCs w:val="20"/>
            </w:rPr>
            <w:t>HRP-095</w:t>
          </w:r>
        </w:p>
      </w:tc>
      <w:tc>
        <w:tcPr>
          <w:tcW w:w="2160" w:type="dxa"/>
          <w:tcBorders>
            <w:top w:val="single" w:sz="8" w:space="0" w:color="auto"/>
            <w:left w:val="single" w:sz="8" w:space="0" w:color="auto"/>
            <w:bottom w:val="single" w:sz="8" w:space="0" w:color="auto"/>
            <w:right w:val="single" w:sz="8" w:space="0" w:color="auto"/>
          </w:tcBorders>
          <w:vAlign w:val="center"/>
          <w:hideMark/>
        </w:tcPr>
        <w:p w14:paraId="185449A3" w14:textId="77777777" w:rsidR="001010A0" w:rsidRDefault="001010A0" w:rsidP="001010A0">
          <w:pPr>
            <w:jc w:val="center"/>
            <w:rPr>
              <w:rFonts w:ascii="Arial" w:hAnsi="Arial" w:cs="Arial"/>
              <w:sz w:val="20"/>
              <w:szCs w:val="20"/>
            </w:rPr>
          </w:pPr>
          <w:r>
            <w:rPr>
              <w:rFonts w:ascii="Arial" w:hAnsi="Arial" w:cs="Arial"/>
              <w:sz w:val="20"/>
              <w:szCs w:val="20"/>
            </w:rPr>
            <w:t>5/30/17</w:t>
          </w:r>
        </w:p>
      </w:tc>
      <w:tc>
        <w:tcPr>
          <w:tcW w:w="2117" w:type="dxa"/>
          <w:tcBorders>
            <w:top w:val="single" w:sz="8" w:space="0" w:color="auto"/>
            <w:left w:val="single" w:sz="8" w:space="0" w:color="auto"/>
            <w:bottom w:val="single" w:sz="8" w:space="0" w:color="auto"/>
            <w:right w:val="single" w:sz="8" w:space="0" w:color="auto"/>
          </w:tcBorders>
          <w:vAlign w:val="center"/>
          <w:hideMark/>
        </w:tcPr>
        <w:p w14:paraId="7499A9CF" w14:textId="77777777" w:rsidR="001010A0" w:rsidRDefault="001010A0" w:rsidP="001010A0">
          <w:pPr>
            <w:jc w:val="center"/>
            <w:rPr>
              <w:rFonts w:ascii="Arial" w:hAnsi="Arial" w:cs="Arial"/>
              <w:sz w:val="20"/>
              <w:szCs w:val="20"/>
            </w:rPr>
          </w:pPr>
          <w:r>
            <w:rPr>
              <w:rFonts w:ascii="Arial" w:hAnsi="Arial" w:cs="Arial"/>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 PAGE  \* Arabic  \* MERGEFORMAT </w:instrText>
          </w:r>
          <w:r>
            <w:rPr>
              <w:rFonts w:ascii="Arial" w:hAnsi="Arial" w:cs="Arial"/>
              <w:b/>
              <w:bCs/>
              <w:sz w:val="20"/>
              <w:szCs w:val="20"/>
            </w:rPr>
            <w:fldChar w:fldCharType="separate"/>
          </w:r>
          <w:r w:rsidR="00021831">
            <w:rPr>
              <w:rFonts w:ascii="Arial" w:hAnsi="Arial" w:cs="Arial"/>
              <w:b/>
              <w:bCs/>
              <w:noProof/>
              <w:sz w:val="20"/>
              <w:szCs w:val="20"/>
            </w:rPr>
            <w:t>3</w:t>
          </w:r>
          <w:r>
            <w:rPr>
              <w:rFonts w:ascii="Arial" w:hAnsi="Arial" w:cs="Arial"/>
              <w:b/>
              <w:bCs/>
              <w:sz w:val="20"/>
              <w:szCs w:val="20"/>
            </w:rPr>
            <w:fldChar w:fldCharType="end"/>
          </w:r>
          <w:r>
            <w:rPr>
              <w:rFonts w:ascii="Arial" w:hAnsi="Arial" w:cs="Arial"/>
              <w:sz w:val="20"/>
              <w:szCs w:val="20"/>
            </w:rPr>
            <w:t xml:space="preserve"> of </w:t>
          </w:r>
          <w:r>
            <w:rPr>
              <w:rFonts w:ascii="Arial" w:hAnsi="Arial" w:cs="Arial"/>
              <w:b/>
              <w:bCs/>
              <w:sz w:val="20"/>
              <w:szCs w:val="20"/>
            </w:rPr>
            <w:fldChar w:fldCharType="begin"/>
          </w:r>
          <w:r>
            <w:rPr>
              <w:rFonts w:ascii="Arial" w:hAnsi="Arial" w:cs="Arial"/>
              <w:b/>
              <w:bCs/>
              <w:sz w:val="20"/>
              <w:szCs w:val="20"/>
            </w:rPr>
            <w:instrText xml:space="preserve"> NUMPAGES  \# "1" \* Arabic  \* MERGEFORMAT </w:instrText>
          </w:r>
          <w:r>
            <w:rPr>
              <w:rFonts w:ascii="Arial" w:hAnsi="Arial" w:cs="Arial"/>
              <w:b/>
              <w:bCs/>
              <w:sz w:val="20"/>
              <w:szCs w:val="20"/>
            </w:rPr>
            <w:fldChar w:fldCharType="separate"/>
          </w:r>
          <w:r w:rsidR="00021831">
            <w:rPr>
              <w:rFonts w:ascii="Arial" w:hAnsi="Arial" w:cs="Arial"/>
              <w:b/>
              <w:bCs/>
              <w:noProof/>
              <w:sz w:val="20"/>
              <w:szCs w:val="20"/>
            </w:rPr>
            <w:t>3</w:t>
          </w:r>
          <w:r>
            <w:rPr>
              <w:rFonts w:ascii="Arial" w:hAnsi="Arial" w:cs="Arial"/>
              <w:b/>
              <w:bCs/>
              <w:sz w:val="20"/>
              <w:szCs w:val="20"/>
            </w:rPr>
            <w:fldChar w:fldCharType="end"/>
          </w:r>
        </w:p>
      </w:tc>
    </w:tr>
  </w:tbl>
  <w:p w14:paraId="16FB11E9" w14:textId="77777777" w:rsidR="00A24DB2" w:rsidRDefault="00A2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5818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818"/>
    <w:rsid w:val="00021831"/>
    <w:rsid w:val="001010A0"/>
    <w:rsid w:val="001E17EA"/>
    <w:rsid w:val="002756A3"/>
    <w:rsid w:val="00283D2A"/>
    <w:rsid w:val="002C27E5"/>
    <w:rsid w:val="00303372"/>
    <w:rsid w:val="00324275"/>
    <w:rsid w:val="003438EC"/>
    <w:rsid w:val="003843EC"/>
    <w:rsid w:val="003A2C26"/>
    <w:rsid w:val="00423E1E"/>
    <w:rsid w:val="0044773E"/>
    <w:rsid w:val="00492973"/>
    <w:rsid w:val="004B51C8"/>
    <w:rsid w:val="0053493E"/>
    <w:rsid w:val="005538BE"/>
    <w:rsid w:val="005608D5"/>
    <w:rsid w:val="005D217A"/>
    <w:rsid w:val="00613C52"/>
    <w:rsid w:val="00640403"/>
    <w:rsid w:val="00653FBC"/>
    <w:rsid w:val="00675243"/>
    <w:rsid w:val="006A1C9E"/>
    <w:rsid w:val="006B2818"/>
    <w:rsid w:val="007B037C"/>
    <w:rsid w:val="00827464"/>
    <w:rsid w:val="008A0C63"/>
    <w:rsid w:val="008F4FBB"/>
    <w:rsid w:val="0091090F"/>
    <w:rsid w:val="00935C77"/>
    <w:rsid w:val="00995D28"/>
    <w:rsid w:val="00A03313"/>
    <w:rsid w:val="00A05F06"/>
    <w:rsid w:val="00A24DB2"/>
    <w:rsid w:val="00AE1642"/>
    <w:rsid w:val="00B23CA1"/>
    <w:rsid w:val="00B323C9"/>
    <w:rsid w:val="00CB6F92"/>
    <w:rsid w:val="00D26D65"/>
    <w:rsid w:val="00D83179"/>
    <w:rsid w:val="00D9663F"/>
    <w:rsid w:val="00DB2E29"/>
    <w:rsid w:val="00F163A3"/>
    <w:rsid w:val="00FE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C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8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Name">
    <w:name w:val="SOP Name"/>
    <w:basedOn w:val="Normal"/>
    <w:rsid w:val="006B2818"/>
    <w:rPr>
      <w:rFonts w:ascii="Arial" w:hAnsi="Arial" w:cs="Tahoma"/>
      <w:szCs w:val="20"/>
    </w:rPr>
  </w:style>
  <w:style w:type="paragraph" w:customStyle="1" w:styleId="SOPTableHeader">
    <w:name w:val="SOP Table Header"/>
    <w:basedOn w:val="Normal"/>
    <w:rsid w:val="006B2818"/>
    <w:pPr>
      <w:jc w:val="center"/>
    </w:pPr>
    <w:rPr>
      <w:rFonts w:ascii="Arial" w:hAnsi="Arial" w:cs="Tahoma"/>
      <w:sz w:val="20"/>
      <w:szCs w:val="20"/>
    </w:rPr>
  </w:style>
  <w:style w:type="paragraph" w:customStyle="1" w:styleId="SOPTableEntry">
    <w:name w:val="SOP Table Entry"/>
    <w:basedOn w:val="SOPTableHeader"/>
    <w:rsid w:val="006B2818"/>
    <w:rPr>
      <w:sz w:val="18"/>
    </w:rPr>
  </w:style>
  <w:style w:type="character" w:customStyle="1" w:styleId="SOPLeader">
    <w:name w:val="SOP Leader"/>
    <w:rsid w:val="006B2818"/>
    <w:rPr>
      <w:rFonts w:ascii="Calibri" w:hAnsi="Calibri" w:hint="default"/>
      <w:b/>
      <w:bCs w:val="0"/>
      <w:sz w:val="24"/>
    </w:rPr>
  </w:style>
  <w:style w:type="paragraph" w:customStyle="1" w:styleId="SOPLevel1">
    <w:name w:val="SOP Level 1"/>
    <w:basedOn w:val="Normal"/>
    <w:rsid w:val="003438EC"/>
    <w:pPr>
      <w:numPr>
        <w:numId w:val="1"/>
      </w:numPr>
      <w:spacing w:before="40" w:after="40"/>
    </w:pPr>
    <w:rPr>
      <w:rFonts w:ascii="Arial" w:hAnsi="Arial" w:cs="Tahoma"/>
      <w:b/>
      <w:sz w:val="20"/>
    </w:rPr>
  </w:style>
  <w:style w:type="paragraph" w:customStyle="1" w:styleId="SOPLevel2">
    <w:name w:val="SOP Level 2"/>
    <w:basedOn w:val="SOPLevel1"/>
    <w:rsid w:val="003438EC"/>
    <w:pPr>
      <w:numPr>
        <w:ilvl w:val="1"/>
      </w:numPr>
      <w:spacing w:before="20" w:after="20"/>
      <w:ind w:left="936" w:hanging="576"/>
    </w:pPr>
    <w:rPr>
      <w:b w:val="0"/>
    </w:rPr>
  </w:style>
  <w:style w:type="paragraph" w:customStyle="1" w:styleId="SOPLevel3">
    <w:name w:val="SOP Level 3"/>
    <w:basedOn w:val="SOPLevel2"/>
    <w:rsid w:val="003438EC"/>
    <w:pPr>
      <w:numPr>
        <w:ilvl w:val="2"/>
      </w:numPr>
      <w:ind w:left="1728" w:hanging="792"/>
    </w:pPr>
  </w:style>
  <w:style w:type="paragraph" w:customStyle="1" w:styleId="SOPLevel4">
    <w:name w:val="SOP Level 4"/>
    <w:basedOn w:val="SOPLevel3"/>
    <w:rsid w:val="003438EC"/>
    <w:pPr>
      <w:numPr>
        <w:ilvl w:val="3"/>
      </w:numPr>
      <w:ind w:left="2736" w:hanging="1008"/>
    </w:pPr>
  </w:style>
  <w:style w:type="paragraph" w:customStyle="1" w:styleId="SOPLevel5">
    <w:name w:val="SOP Level 5"/>
    <w:basedOn w:val="SOPLevel4"/>
    <w:rsid w:val="003438EC"/>
    <w:pPr>
      <w:numPr>
        <w:ilvl w:val="4"/>
      </w:numPr>
      <w:ind w:left="3960" w:hanging="1224"/>
    </w:pPr>
  </w:style>
  <w:style w:type="paragraph" w:customStyle="1" w:styleId="SOPLevel6">
    <w:name w:val="SOP Level 6"/>
    <w:basedOn w:val="SOPLevel5"/>
    <w:rsid w:val="003438EC"/>
    <w:pPr>
      <w:numPr>
        <w:ilvl w:val="5"/>
      </w:numPr>
      <w:ind w:left="5400" w:hanging="1440"/>
    </w:pPr>
  </w:style>
  <w:style w:type="paragraph" w:customStyle="1" w:styleId="Default">
    <w:name w:val="Default"/>
    <w:rsid w:val="003438E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24DB2"/>
    <w:pPr>
      <w:tabs>
        <w:tab w:val="center" w:pos="4680"/>
        <w:tab w:val="right" w:pos="9360"/>
      </w:tabs>
    </w:pPr>
  </w:style>
  <w:style w:type="character" w:customStyle="1" w:styleId="HeaderChar">
    <w:name w:val="Header Char"/>
    <w:basedOn w:val="DefaultParagraphFont"/>
    <w:link w:val="Header"/>
    <w:uiPriority w:val="99"/>
    <w:rsid w:val="00A24D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4DB2"/>
    <w:pPr>
      <w:tabs>
        <w:tab w:val="center" w:pos="4680"/>
        <w:tab w:val="right" w:pos="9360"/>
      </w:tabs>
    </w:pPr>
  </w:style>
  <w:style w:type="character" w:customStyle="1" w:styleId="FooterChar">
    <w:name w:val="Footer Char"/>
    <w:basedOn w:val="DefaultParagraphFont"/>
    <w:link w:val="Footer"/>
    <w:uiPriority w:val="99"/>
    <w:rsid w:val="00A24DB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3313"/>
    <w:rPr>
      <w:sz w:val="16"/>
      <w:szCs w:val="16"/>
    </w:rPr>
  </w:style>
  <w:style w:type="paragraph" w:styleId="CommentText">
    <w:name w:val="annotation text"/>
    <w:basedOn w:val="Normal"/>
    <w:link w:val="CommentTextChar"/>
    <w:uiPriority w:val="99"/>
    <w:unhideWhenUsed/>
    <w:rsid w:val="00A03313"/>
    <w:rPr>
      <w:sz w:val="20"/>
      <w:szCs w:val="20"/>
    </w:rPr>
  </w:style>
  <w:style w:type="character" w:customStyle="1" w:styleId="CommentTextChar">
    <w:name w:val="Comment Text Char"/>
    <w:basedOn w:val="DefaultParagraphFont"/>
    <w:link w:val="CommentText"/>
    <w:uiPriority w:val="99"/>
    <w:rsid w:val="00A033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3313"/>
    <w:rPr>
      <w:b/>
      <w:bCs/>
    </w:rPr>
  </w:style>
  <w:style w:type="character" w:customStyle="1" w:styleId="CommentSubjectChar">
    <w:name w:val="Comment Subject Char"/>
    <w:basedOn w:val="CommentTextChar"/>
    <w:link w:val="CommentSubject"/>
    <w:uiPriority w:val="99"/>
    <w:semiHidden/>
    <w:rsid w:val="00A0331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840804">
      <w:bodyDiv w:val="1"/>
      <w:marLeft w:val="0"/>
      <w:marRight w:val="0"/>
      <w:marTop w:val="0"/>
      <w:marBottom w:val="0"/>
      <w:divBdr>
        <w:top w:val="none" w:sz="0" w:space="0" w:color="auto"/>
        <w:left w:val="none" w:sz="0" w:space="0" w:color="auto"/>
        <w:bottom w:val="none" w:sz="0" w:space="0" w:color="auto"/>
        <w:right w:val="none" w:sz="0" w:space="0" w:color="auto"/>
      </w:divBdr>
    </w:div>
    <w:div w:id="13818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BB9A350106254CA55E556084C0CB8F" ma:contentTypeVersion="4" ma:contentTypeDescription="Create a new document." ma:contentTypeScope="" ma:versionID="9ce75cc87270c1b26116e36f4b810378">
  <xsd:schema xmlns:xsd="http://www.w3.org/2001/XMLSchema" xmlns:xs="http://www.w3.org/2001/XMLSchema" xmlns:p="http://schemas.microsoft.com/office/2006/metadata/properties" xmlns:ns2="79da1339-76b9-4fe1-b76d-e45c3b2db929" targetNamespace="http://schemas.microsoft.com/office/2006/metadata/properties" ma:root="true" ma:fieldsID="f54f74f89947a92a961605b38a325c0a" ns2:_="">
    <xsd:import namespace="79da1339-76b9-4fe1-b76d-e45c3b2db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a1339-76b9-4fe1-b76d-e45c3b2db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EE1DFF-E776-42CC-8C30-36C9933B7594}">
  <ds:schemaRefs>
    <ds:schemaRef ds:uri="http://schemas.microsoft.com/sharepoint/v3/contenttype/forms"/>
  </ds:schemaRefs>
</ds:datastoreItem>
</file>

<file path=customXml/itemProps2.xml><?xml version="1.0" encoding="utf-8"?>
<ds:datastoreItem xmlns:ds="http://schemas.openxmlformats.org/officeDocument/2006/customXml" ds:itemID="{528CA086-F228-4285-A801-04DB30C8D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a1339-76b9-4fe1-b76d-e45c3b2db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A0A1E-EEB4-49FD-B618-C1290B4798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1399</Words>
  <Characters>7976</Characters>
  <Application>Microsoft Office Word</Application>
  <DocSecurity>0</DocSecurity>
  <Lines>66</Lines>
  <Paragraphs>18</Paragraphs>
  <ScaleCrop>false</ScaleCrop>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2022-05-22T16:35:00Z</dcterms:created>
  <dcterms:modified xsi:type="dcterms:W3CDTF">2022-05-31T22:22:00Z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0x010100F3BB9A350106254CA55E556084C0CB8F</vt:lpwstr>
  </property>
</Properties>
</file>