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0E10" w14:textId="77777777" w:rsidR="007E5A61" w:rsidRDefault="007E5A61" w:rsidP="008B254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90"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
        <w:gridCol w:w="10328"/>
      </w:tblGrid>
      <w:tr w:rsidR="007E5A61" w14:paraId="0A2CD65E" w14:textId="77777777">
        <w:tc>
          <w:tcPr>
            <w:tcW w:w="10790" w:type="dxa"/>
            <w:gridSpan w:val="2"/>
          </w:tcPr>
          <w:p w14:paraId="39A85760" w14:textId="68EE4FD4" w:rsidR="007E5A61" w:rsidRDefault="00CE37F6">
            <w:pPr>
              <w:pBdr>
                <w:top w:val="nil"/>
                <w:left w:val="nil"/>
                <w:bottom w:val="nil"/>
                <w:right w:val="nil"/>
                <w:between w:val="nil"/>
              </w:pBdr>
              <w:rPr>
                <w:rFonts w:ascii="Arial Narrow" w:eastAsia="Arial Narrow" w:hAnsi="Arial Narrow" w:cs="Arial Narrow"/>
                <w:color w:val="000000"/>
                <w:sz w:val="20"/>
                <w:szCs w:val="20"/>
              </w:rPr>
            </w:pPr>
            <w:bookmarkStart w:id="0" w:name="_gjdgxs" w:colFirst="0" w:colLast="0"/>
            <w:bookmarkEnd w:id="0"/>
            <w:r>
              <w:rPr>
                <w:rFonts w:ascii="Arial Narrow" w:eastAsia="Arial Narrow" w:hAnsi="Arial Narrow" w:cs="Arial Narrow"/>
                <w:color w:val="000000"/>
                <w:sz w:val="20"/>
                <w:szCs w:val="20"/>
              </w:rPr>
              <w:t xml:space="preserve">The purpose of this worksheet is to provide support for IRB members performing limited IRB reviews. </w:t>
            </w:r>
            <w:r w:rsidR="005027BE">
              <w:rPr>
                <w:rFonts w:ascii="Arial Narrow" w:eastAsia="Arial Narrow" w:hAnsi="Arial Narrow" w:cs="Arial Narrow"/>
                <w:color w:val="000000"/>
                <w:sz w:val="20"/>
                <w:szCs w:val="20"/>
              </w:rPr>
              <w:t>This worksheet does not need to be retained</w:t>
            </w:r>
            <w:r>
              <w:rPr>
                <w:rFonts w:ascii="Arial Narrow" w:eastAsia="Arial Narrow" w:hAnsi="Arial Narrow" w:cs="Arial Narrow"/>
                <w:color w:val="000000"/>
                <w:sz w:val="20"/>
                <w:szCs w:val="20"/>
              </w:rPr>
              <w:t>. (LAR = “subject’s Legally Authorized Representative”)</w:t>
            </w:r>
            <w:r w:rsidR="003752B0" w:rsidRPr="00582D4D">
              <w:rPr>
                <w:rFonts w:ascii="Arial Narrow" w:hAnsi="Arial Narrow"/>
                <w:sz w:val="20"/>
                <w:szCs w:val="20"/>
              </w:rPr>
              <w:t xml:space="preserve"> </w:t>
            </w:r>
            <w:r w:rsidR="003752B0" w:rsidRPr="00582D4D">
              <w:rPr>
                <w:rStyle w:val="FootnoteReference"/>
                <w:rFonts w:ascii="Arial Narrow" w:hAnsi="Arial Narrow"/>
                <w:sz w:val="20"/>
                <w:szCs w:val="20"/>
              </w:rPr>
              <w:footnoteReference w:id="1"/>
            </w:r>
          </w:p>
        </w:tc>
      </w:tr>
      <w:tr w:rsidR="007E5A61" w14:paraId="31E19487" w14:textId="77777777">
        <w:trPr>
          <w:trHeight w:val="60"/>
        </w:trPr>
        <w:tc>
          <w:tcPr>
            <w:tcW w:w="10790" w:type="dxa"/>
            <w:gridSpan w:val="2"/>
            <w:shd w:val="clear" w:color="auto" w:fill="000000"/>
            <w:tcMar>
              <w:left w:w="115" w:type="dxa"/>
              <w:right w:w="115" w:type="dxa"/>
            </w:tcMar>
          </w:tcPr>
          <w:p w14:paraId="75289B7A" w14:textId="77777777" w:rsidR="007E5A61" w:rsidRDefault="007E5A61">
            <w:pPr>
              <w:rPr>
                <w:sz w:val="10"/>
                <w:szCs w:val="10"/>
              </w:rPr>
            </w:pPr>
          </w:p>
        </w:tc>
      </w:tr>
      <w:tr w:rsidR="007E5A61" w14:paraId="7CCEC753" w14:textId="77777777">
        <w:tc>
          <w:tcPr>
            <w:tcW w:w="10790" w:type="dxa"/>
            <w:gridSpan w:val="2"/>
            <w:tcBorders>
              <w:top w:val="single" w:sz="24" w:space="0" w:color="000000"/>
              <w:left w:val="single" w:sz="4" w:space="0" w:color="000000"/>
              <w:bottom w:val="single" w:sz="4" w:space="0" w:color="000000"/>
              <w:right w:val="single" w:sz="4" w:space="0" w:color="000000"/>
            </w:tcBorders>
            <w:vAlign w:val="center"/>
          </w:tcPr>
          <w:p w14:paraId="360BC69A" w14:textId="635AEC63" w:rsidR="007E5A61" w:rsidRDefault="00CE37F6" w:rsidP="00277B4C">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Method for limited IRB review:</w:t>
            </w:r>
            <w:r>
              <w:rPr>
                <w:rFonts w:ascii="Arial Narrow" w:eastAsia="Arial Narrow" w:hAnsi="Arial Narrow" w:cs="Arial Narrow"/>
                <w:color w:val="000000"/>
                <w:sz w:val="20"/>
                <w:szCs w:val="20"/>
              </w:rPr>
              <w:t xml:space="preserve"> (</w:t>
            </w:r>
            <w:r w:rsidR="00277B4C">
              <w:rPr>
                <w:rFonts w:ascii="Arial Narrow" w:eastAsia="Arial Narrow" w:hAnsi="Arial Narrow" w:cs="Arial Narrow"/>
                <w:color w:val="000000"/>
                <w:sz w:val="20"/>
                <w:szCs w:val="20"/>
              </w:rPr>
              <w:t>C</w:t>
            </w:r>
            <w:r>
              <w:rPr>
                <w:rFonts w:ascii="Arial Narrow" w:eastAsia="Arial Narrow" w:hAnsi="Arial Narrow" w:cs="Arial Narrow"/>
                <w:color w:val="000000"/>
                <w:sz w:val="20"/>
                <w:szCs w:val="20"/>
              </w:rPr>
              <w:t>heck one</w:t>
            </w:r>
            <w:r w:rsidR="00277B4C">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7E5A61" w14:paraId="7038E70A" w14:textId="77777777">
        <w:tc>
          <w:tcPr>
            <w:tcW w:w="462" w:type="dxa"/>
            <w:tcBorders>
              <w:top w:val="single" w:sz="4" w:space="0" w:color="000000"/>
              <w:left w:val="single" w:sz="4" w:space="0" w:color="000000"/>
              <w:bottom w:val="single" w:sz="4" w:space="0" w:color="000000"/>
              <w:right w:val="single" w:sz="4" w:space="0" w:color="000000"/>
            </w:tcBorders>
          </w:tcPr>
          <w:p w14:paraId="23C1C300" w14:textId="77777777" w:rsidR="007E5A61" w:rsidRDefault="00CE37F6">
            <w:pPr>
              <w:pBdr>
                <w:top w:val="nil"/>
                <w:left w:val="nil"/>
                <w:bottom w:val="nil"/>
                <w:right w:val="nil"/>
                <w:between w:val="nil"/>
              </w:pBdr>
              <w:jc w:val="center"/>
              <w:rPr>
                <w:rFonts w:ascii="Arial Narrow" w:eastAsia="Arial Narrow" w:hAnsi="Arial Narrow" w:cs="Arial Narrow"/>
                <w:color w:val="000000"/>
                <w:sz w:val="20"/>
                <w:szCs w:val="20"/>
              </w:rPr>
            </w:pPr>
            <w:r>
              <w:rPr>
                <w:rFonts w:ascii="MS Gothic" w:eastAsia="MS Gothic" w:hAnsi="MS Gothic" w:cs="MS Gothic"/>
                <w:color w:val="000000"/>
                <w:sz w:val="20"/>
                <w:szCs w:val="20"/>
              </w:rPr>
              <w:t>☐</w:t>
            </w:r>
          </w:p>
        </w:tc>
        <w:tc>
          <w:tcPr>
            <w:tcW w:w="10328" w:type="dxa"/>
            <w:tcBorders>
              <w:top w:val="single" w:sz="4" w:space="0" w:color="000000"/>
              <w:left w:val="single" w:sz="4" w:space="0" w:color="000000"/>
              <w:bottom w:val="single" w:sz="4" w:space="0" w:color="000000"/>
              <w:right w:val="single" w:sz="4" w:space="0" w:color="000000"/>
            </w:tcBorders>
          </w:tcPr>
          <w:p w14:paraId="5B62969D" w14:textId="5152CD69"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Limited IRB review, for research as a condition of </w:t>
            </w:r>
            <w:r w:rsidR="00CB61A6">
              <w:rPr>
                <w:rFonts w:ascii="Arial Narrow" w:eastAsia="Arial Narrow" w:hAnsi="Arial Narrow" w:cs="Arial Narrow"/>
                <w:color w:val="000000"/>
                <w:sz w:val="20"/>
                <w:szCs w:val="20"/>
              </w:rPr>
              <w:t>exemption</w:t>
            </w:r>
            <w:r>
              <w:rPr>
                <w:rFonts w:ascii="Arial Narrow" w:eastAsia="Arial Narrow" w:hAnsi="Arial Narrow" w:cs="Arial Narrow"/>
                <w:color w:val="000000"/>
                <w:sz w:val="20"/>
                <w:szCs w:val="20"/>
              </w:rPr>
              <w:t>, conducted via single member (expedited) review</w:t>
            </w:r>
            <w:r>
              <w:rPr>
                <w:rFonts w:ascii="Arial Narrow" w:eastAsia="Arial Narrow" w:hAnsi="Arial Narrow" w:cs="Arial Narrow"/>
                <w:color w:val="000000"/>
                <w:sz w:val="20"/>
                <w:szCs w:val="20"/>
                <w:vertAlign w:val="superscript"/>
              </w:rPr>
              <w:footnoteReference w:id="2"/>
            </w:r>
          </w:p>
        </w:tc>
      </w:tr>
      <w:tr w:rsidR="007E5A61" w14:paraId="0F899BF3" w14:textId="77777777">
        <w:tc>
          <w:tcPr>
            <w:tcW w:w="462" w:type="dxa"/>
            <w:tcBorders>
              <w:top w:val="single" w:sz="4" w:space="0" w:color="000000"/>
              <w:left w:val="single" w:sz="4" w:space="0" w:color="000000"/>
              <w:bottom w:val="nil"/>
              <w:right w:val="single" w:sz="4" w:space="0" w:color="000000"/>
            </w:tcBorders>
          </w:tcPr>
          <w:p w14:paraId="52045AF3" w14:textId="77777777" w:rsidR="007E5A61" w:rsidRDefault="00CE37F6">
            <w:pPr>
              <w:pBdr>
                <w:top w:val="nil"/>
                <w:left w:val="nil"/>
                <w:bottom w:val="nil"/>
                <w:right w:val="nil"/>
                <w:between w:val="nil"/>
              </w:pBdr>
              <w:jc w:val="center"/>
              <w:rPr>
                <w:rFonts w:ascii="Arial Narrow" w:eastAsia="Arial Narrow" w:hAnsi="Arial Narrow" w:cs="Arial Narrow"/>
                <w:color w:val="000000"/>
                <w:sz w:val="20"/>
                <w:szCs w:val="20"/>
              </w:rPr>
            </w:pPr>
            <w:r>
              <w:rPr>
                <w:rFonts w:ascii="MS Gothic" w:eastAsia="MS Gothic" w:hAnsi="MS Gothic" w:cs="MS Gothic"/>
                <w:color w:val="000000"/>
                <w:sz w:val="20"/>
                <w:szCs w:val="20"/>
              </w:rPr>
              <w:t>☐</w:t>
            </w:r>
          </w:p>
        </w:tc>
        <w:tc>
          <w:tcPr>
            <w:tcW w:w="10328" w:type="dxa"/>
            <w:tcBorders>
              <w:top w:val="single" w:sz="4" w:space="0" w:color="000000"/>
              <w:left w:val="single" w:sz="4" w:space="0" w:color="000000"/>
              <w:bottom w:val="nil"/>
              <w:right w:val="single" w:sz="4" w:space="0" w:color="000000"/>
            </w:tcBorders>
          </w:tcPr>
          <w:p w14:paraId="0C2200E9" w14:textId="7A7148CB" w:rsidR="007E5A61" w:rsidRDefault="00CE37F6" w:rsidP="00277B4C">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Limited IRB review, for research as a condition of </w:t>
            </w:r>
            <w:r w:rsidR="00CB61A6">
              <w:rPr>
                <w:rFonts w:ascii="Arial Narrow" w:eastAsia="Arial Narrow" w:hAnsi="Arial Narrow" w:cs="Arial Narrow"/>
                <w:color w:val="000000"/>
                <w:sz w:val="20"/>
                <w:szCs w:val="20"/>
              </w:rPr>
              <w:t>exemption</w:t>
            </w:r>
            <w:r>
              <w:rPr>
                <w:rFonts w:ascii="Arial Narrow" w:eastAsia="Arial Narrow" w:hAnsi="Arial Narrow" w:cs="Arial Narrow"/>
                <w:color w:val="000000"/>
                <w:sz w:val="20"/>
                <w:szCs w:val="20"/>
              </w:rPr>
              <w:t xml:space="preserve">, performed by the </w:t>
            </w:r>
            <w:r w:rsidR="00277B4C">
              <w:rPr>
                <w:rFonts w:ascii="Arial Narrow" w:eastAsia="Arial Narrow" w:hAnsi="Arial Narrow" w:cs="Arial Narrow"/>
                <w:color w:val="000000"/>
                <w:sz w:val="20"/>
                <w:szCs w:val="20"/>
              </w:rPr>
              <w:t>f</w:t>
            </w:r>
            <w:r>
              <w:rPr>
                <w:rFonts w:ascii="Arial Narrow" w:eastAsia="Arial Narrow" w:hAnsi="Arial Narrow" w:cs="Arial Narrow"/>
                <w:color w:val="000000"/>
                <w:sz w:val="20"/>
                <w:szCs w:val="20"/>
              </w:rPr>
              <w:t>ull (convened) IRB.</w:t>
            </w:r>
          </w:p>
        </w:tc>
      </w:tr>
      <w:tr w:rsidR="007E5A61" w14:paraId="38C59763" w14:textId="77777777">
        <w:trPr>
          <w:trHeight w:val="60"/>
        </w:trPr>
        <w:tc>
          <w:tcPr>
            <w:tcW w:w="10790" w:type="dxa"/>
            <w:gridSpan w:val="2"/>
            <w:shd w:val="clear" w:color="auto" w:fill="000000"/>
            <w:tcMar>
              <w:left w:w="115" w:type="dxa"/>
              <w:right w:w="115" w:type="dxa"/>
            </w:tcMar>
          </w:tcPr>
          <w:p w14:paraId="2D3080AF" w14:textId="5429C387" w:rsidR="007E5A61" w:rsidRDefault="00CB61A6">
            <w:pPr>
              <w:rPr>
                <w:sz w:val="10"/>
                <w:szCs w:val="10"/>
              </w:rPr>
            </w:pPr>
            <w:r>
              <w:rPr>
                <w:sz w:val="10"/>
                <w:szCs w:val="10"/>
              </w:rPr>
              <w:t>e</w:t>
            </w:r>
          </w:p>
        </w:tc>
      </w:tr>
      <w:tr w:rsidR="007E5A61" w14:paraId="2974794F" w14:textId="77777777">
        <w:tc>
          <w:tcPr>
            <w:tcW w:w="10790" w:type="dxa"/>
            <w:gridSpan w:val="2"/>
            <w:tcMar>
              <w:left w:w="115" w:type="dxa"/>
              <w:right w:w="115" w:type="dxa"/>
            </w:tcMar>
          </w:tcPr>
          <w:p w14:paraId="0F4D7454" w14:textId="77777777" w:rsidR="007E5A61" w:rsidRDefault="00CE37F6" w:rsidP="005027BE">
            <w:pPr>
              <w:pBdr>
                <w:top w:val="nil"/>
                <w:left w:val="nil"/>
                <w:bottom w:val="nil"/>
                <w:right w:val="nil"/>
                <w:between w:val="nil"/>
              </w:pBdr>
              <w:tabs>
                <w:tab w:val="left" w:pos="360"/>
              </w:tabs>
            </w:pPr>
            <w:r>
              <w:rPr>
                <w:rFonts w:ascii="Arial Narrow" w:eastAsia="Arial Narrow" w:hAnsi="Arial Narrow" w:cs="Arial Narrow"/>
                <w:b/>
                <w:color w:val="000000"/>
                <w:sz w:val="20"/>
                <w:szCs w:val="20"/>
              </w:rPr>
              <w:t>The research falls into one the following exempt categories</w:t>
            </w:r>
            <w:r>
              <w:rPr>
                <w:rFonts w:ascii="Arial Narrow" w:eastAsia="Arial Narrow" w:hAnsi="Arial Narrow" w:cs="Arial Narrow"/>
                <w:color w:val="000000"/>
                <w:sz w:val="20"/>
                <w:szCs w:val="20"/>
              </w:rPr>
              <w:t>: (One or more categories must be checked</w:t>
            </w:r>
            <w:r w:rsidR="00277B4C">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7E5A61" w14:paraId="484255C8" w14:textId="77777777">
        <w:tc>
          <w:tcPr>
            <w:tcW w:w="462" w:type="dxa"/>
            <w:tcMar>
              <w:left w:w="115" w:type="dxa"/>
              <w:right w:w="115" w:type="dxa"/>
            </w:tcMar>
          </w:tcPr>
          <w:p w14:paraId="745E876A" w14:textId="77777777" w:rsidR="007E5A61" w:rsidRDefault="00CE37F6">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color w:val="000000"/>
                <w:sz w:val="20"/>
                <w:szCs w:val="20"/>
              </w:rPr>
              <w:t>☐</w:t>
            </w:r>
          </w:p>
        </w:tc>
        <w:tc>
          <w:tcPr>
            <w:tcW w:w="10328" w:type="dxa"/>
            <w:tcMar>
              <w:left w:w="115" w:type="dxa"/>
              <w:right w:w="115" w:type="dxa"/>
            </w:tcMar>
          </w:tcPr>
          <w:p w14:paraId="697DE4CB"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Category 2 (iii): Research that only includes interactions involving educational tests (cognitive, diagnostic, aptitude, achievement), survey procedures, interview procedures or observation of public behavior (including visual or auditory recording) where the information obtained is recorded by the investigator in such a manner that the identity of the </w:t>
            </w:r>
            <w:r w:rsidRPr="005027BE">
              <w:rPr>
                <w:rFonts w:ascii="Arial Narrow" w:eastAsia="Arial Narrow" w:hAnsi="Arial Narrow" w:cs="Arial Narrow"/>
                <w:color w:val="000000"/>
                <w:sz w:val="20"/>
                <w:szCs w:val="20"/>
                <w:u w:val="double"/>
              </w:rPr>
              <w:t>Human Subjects</w:t>
            </w:r>
            <w:r>
              <w:rPr>
                <w:rFonts w:ascii="Arial Narrow" w:eastAsia="Arial Narrow" w:hAnsi="Arial Narrow" w:cs="Arial Narrow"/>
                <w:color w:val="000000"/>
                <w:sz w:val="20"/>
                <w:szCs w:val="20"/>
              </w:rPr>
              <w:t xml:space="preserve"> can readily be ascertained, directly or through identifiers linked to the subjects.  The following must be true</w:t>
            </w:r>
            <w:r>
              <w:rPr>
                <w:rFonts w:ascii="Arial Narrow" w:eastAsia="Arial Narrow" w:hAnsi="Arial Narrow" w:cs="Arial Narrow"/>
                <w:color w:val="000000"/>
                <w:sz w:val="20"/>
                <w:szCs w:val="20"/>
                <w:vertAlign w:val="superscript"/>
              </w:rPr>
              <w:footnoteReference w:id="3"/>
            </w:r>
            <w:r>
              <w:rPr>
                <w:rFonts w:ascii="Arial Narrow" w:eastAsia="Arial Narrow" w:hAnsi="Arial Narrow" w:cs="Arial Narrow"/>
                <w:color w:val="000000"/>
                <w:sz w:val="20"/>
                <w:szCs w:val="20"/>
              </w:rPr>
              <w:t xml:space="preserve">: </w:t>
            </w:r>
            <w:r>
              <w:rPr>
                <w:rFonts w:ascii="Arial Narrow" w:eastAsia="Arial Narrow" w:hAnsi="Arial Narrow" w:cs="Arial Narrow"/>
                <w:b/>
                <w:color w:val="000000"/>
                <w:sz w:val="20"/>
                <w:szCs w:val="20"/>
              </w:rPr>
              <w:t>(Check if “Yes”</w:t>
            </w:r>
            <w:r w:rsidR="00277B4C">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w:t>
            </w:r>
          </w:p>
          <w:p w14:paraId="1DBF202E"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There are adequate provisions to protect the privacy of subjects and to maintain the confidentiality of data.</w:t>
            </w:r>
          </w:p>
        </w:tc>
      </w:tr>
      <w:tr w:rsidR="007E5A61" w14:paraId="1B2BCCB7" w14:textId="77777777">
        <w:tc>
          <w:tcPr>
            <w:tcW w:w="462" w:type="dxa"/>
            <w:tcMar>
              <w:left w:w="115" w:type="dxa"/>
              <w:right w:w="115" w:type="dxa"/>
            </w:tcMar>
          </w:tcPr>
          <w:p w14:paraId="33E1C807" w14:textId="77777777" w:rsidR="007E5A61" w:rsidRDefault="00CE37F6">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color w:val="000000"/>
                <w:sz w:val="20"/>
                <w:szCs w:val="20"/>
              </w:rPr>
              <w:t>☐</w:t>
            </w:r>
          </w:p>
        </w:tc>
        <w:tc>
          <w:tcPr>
            <w:tcW w:w="10328" w:type="dxa"/>
            <w:tcMar>
              <w:left w:w="115" w:type="dxa"/>
              <w:right w:w="115" w:type="dxa"/>
            </w:tcMar>
          </w:tcPr>
          <w:p w14:paraId="77C37D5F" w14:textId="69AB42A2"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Category 3 (</w:t>
            </w:r>
            <w:proofErr w:type="spellStart"/>
            <w:r>
              <w:rPr>
                <w:rFonts w:ascii="Arial Narrow" w:eastAsia="Arial Narrow" w:hAnsi="Arial Narrow" w:cs="Arial Narrow"/>
                <w:color w:val="000000"/>
                <w:sz w:val="20"/>
                <w:szCs w:val="20"/>
              </w:rPr>
              <w:t>i</w:t>
            </w:r>
            <w:proofErr w:type="spellEnd"/>
            <w:r>
              <w:rPr>
                <w:rFonts w:ascii="Arial Narrow" w:eastAsia="Arial Narrow" w:hAnsi="Arial Narrow" w:cs="Arial Narrow"/>
                <w:color w:val="000000"/>
                <w:sz w:val="20"/>
                <w:szCs w:val="20"/>
              </w:rPr>
              <w:t>)(C): Research involving benign behavioral interventions</w:t>
            </w:r>
            <w:r>
              <w:rPr>
                <w:rFonts w:ascii="Arial Narrow" w:eastAsia="Arial Narrow" w:hAnsi="Arial Narrow" w:cs="Arial Narrow"/>
                <w:color w:val="000000"/>
                <w:sz w:val="20"/>
                <w:szCs w:val="20"/>
                <w:vertAlign w:val="superscript"/>
              </w:rPr>
              <w:footnoteReference w:id="4"/>
            </w:r>
            <w:r>
              <w:rPr>
                <w:rFonts w:ascii="Arial Narrow" w:eastAsia="Arial Narrow" w:hAnsi="Arial Narrow" w:cs="Arial Narrow"/>
                <w:color w:val="000000"/>
                <w:sz w:val="20"/>
                <w:szCs w:val="20"/>
              </w:rPr>
              <w:t xml:space="preserve"> in conjunction with the collection of information from an adult subject through verbal or written responses (including data entry) or audiovisual recording if the subject prospectively agrees to the intervention and information collection and the information obtained is recorded by the investigator in such a manner that the identity of the </w:t>
            </w:r>
            <w:r w:rsidRPr="005027BE">
              <w:rPr>
                <w:rFonts w:ascii="Arial Narrow" w:eastAsia="Arial Narrow" w:hAnsi="Arial Narrow" w:cs="Arial Narrow"/>
                <w:color w:val="000000"/>
                <w:sz w:val="20"/>
                <w:szCs w:val="20"/>
                <w:u w:val="double"/>
              </w:rPr>
              <w:t>Human Subjects</w:t>
            </w:r>
            <w:r>
              <w:rPr>
                <w:rFonts w:ascii="Arial Narrow" w:eastAsia="Arial Narrow" w:hAnsi="Arial Narrow" w:cs="Arial Narrow"/>
                <w:color w:val="000000"/>
                <w:sz w:val="20"/>
                <w:szCs w:val="20"/>
              </w:rPr>
              <w:t xml:space="preserve"> can readily be ascertained, directly or through identifiers linked to the subjects.  The following must be true</w:t>
            </w:r>
            <w:r>
              <w:rPr>
                <w:rFonts w:ascii="Arial Narrow" w:eastAsia="Arial Narrow" w:hAnsi="Arial Narrow" w:cs="Arial Narrow"/>
                <w:color w:val="000000"/>
                <w:sz w:val="20"/>
                <w:szCs w:val="20"/>
                <w:vertAlign w:val="superscript"/>
              </w:rPr>
              <w:footnoteReference w:id="5"/>
            </w:r>
            <w:r>
              <w:rPr>
                <w:rFonts w:ascii="Arial Narrow" w:eastAsia="Arial Narrow" w:hAnsi="Arial Narrow" w:cs="Arial Narrow"/>
                <w:color w:val="000000"/>
                <w:sz w:val="20"/>
                <w:szCs w:val="20"/>
                <w:vertAlign w:val="superscript"/>
              </w:rPr>
              <w:footnoteReference w:id="6"/>
            </w:r>
            <w:r>
              <w:rPr>
                <w:rFonts w:ascii="Arial Narrow" w:eastAsia="Arial Narrow" w:hAnsi="Arial Narrow" w:cs="Arial Narrow"/>
                <w:color w:val="000000"/>
                <w:sz w:val="20"/>
                <w:szCs w:val="20"/>
              </w:rPr>
              <w:t>:</w:t>
            </w:r>
            <w:r w:rsidR="00277B4C">
              <w:rPr>
                <w:rFonts w:ascii="Arial Narrow" w:eastAsia="Arial Narrow" w:hAnsi="Arial Narrow" w:cs="Arial Narrow"/>
                <w:color w:val="000000"/>
                <w:sz w:val="20"/>
                <w:szCs w:val="20"/>
              </w:rPr>
              <w:t xml:space="preserve"> </w:t>
            </w:r>
            <w:r>
              <w:rPr>
                <w:rFonts w:ascii="Arial Narrow" w:eastAsia="Arial Narrow" w:hAnsi="Arial Narrow" w:cs="Arial Narrow"/>
                <w:b/>
                <w:color w:val="000000"/>
                <w:sz w:val="20"/>
                <w:szCs w:val="20"/>
              </w:rPr>
              <w:t>(Check if “Yes”</w:t>
            </w:r>
            <w:r w:rsidR="00277B4C">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w:t>
            </w:r>
          </w:p>
          <w:p w14:paraId="21AD94A2"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There are adequate provisions to protect the privacy of subjects and to maintain the confidentiality of data.</w:t>
            </w:r>
          </w:p>
        </w:tc>
      </w:tr>
      <w:tr w:rsidR="007E5A61" w14:paraId="2DA14F87" w14:textId="77777777">
        <w:trPr>
          <w:trHeight w:val="60"/>
        </w:trPr>
        <w:tc>
          <w:tcPr>
            <w:tcW w:w="10790" w:type="dxa"/>
            <w:gridSpan w:val="2"/>
            <w:shd w:val="clear" w:color="auto" w:fill="000000"/>
            <w:tcMar>
              <w:left w:w="115" w:type="dxa"/>
              <w:right w:w="115" w:type="dxa"/>
            </w:tcMar>
          </w:tcPr>
          <w:p w14:paraId="4A22A1AD" w14:textId="77777777" w:rsidR="007E5A61" w:rsidRDefault="007E5A61">
            <w:pPr>
              <w:pBdr>
                <w:top w:val="nil"/>
                <w:left w:val="nil"/>
                <w:bottom w:val="nil"/>
                <w:right w:val="nil"/>
                <w:between w:val="nil"/>
              </w:pBdr>
              <w:rPr>
                <w:rFonts w:ascii="Arial Narrow" w:eastAsia="Arial Narrow" w:hAnsi="Arial Narrow" w:cs="Arial Narrow"/>
                <w:color w:val="000000"/>
                <w:sz w:val="20"/>
                <w:szCs w:val="20"/>
              </w:rPr>
            </w:pPr>
          </w:p>
        </w:tc>
      </w:tr>
    </w:tbl>
    <w:p w14:paraId="2074B42E" w14:textId="77777777" w:rsidR="007E5A61" w:rsidRDefault="007E5A61" w:rsidP="008B2548"/>
    <w:sectPr w:rsidR="007E5A61">
      <w:headerReference w:type="default" r:id="rId10"/>
      <w:footerReference w:type="default" r:id="rId11"/>
      <w:pgSz w:w="12240" w:h="15840"/>
      <w:pgMar w:top="720" w:right="720" w:bottom="720" w:left="720" w:header="720" w:footer="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E5B5" w14:textId="77777777" w:rsidR="00681D60" w:rsidRDefault="00681D60">
      <w:r>
        <w:separator/>
      </w:r>
    </w:p>
  </w:endnote>
  <w:endnote w:type="continuationSeparator" w:id="0">
    <w:p w14:paraId="4903EB72" w14:textId="77777777" w:rsidR="00681D60" w:rsidRDefault="006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600A" w14:textId="77777777" w:rsidR="007E5A61" w:rsidRDefault="00CE37F6">
    <w:pPr>
      <w:pBdr>
        <w:top w:val="nil"/>
        <w:left w:val="nil"/>
        <w:bottom w:val="nil"/>
        <w:right w:val="nil"/>
        <w:between w:val="nil"/>
      </w:pBdr>
      <w:tabs>
        <w:tab w:val="right" w:pos="10620"/>
        <w:tab w:val="right" w:pos="10800"/>
      </w:tabs>
      <w:rPr>
        <w:rFonts w:ascii="Arial" w:eastAsia="Arial" w:hAnsi="Arial" w:cs="Arial"/>
        <w:color w:val="000000"/>
        <w:sz w:val="16"/>
        <w:szCs w:val="16"/>
      </w:rPr>
    </w:pPr>
    <w:r>
      <w:rPr>
        <w:rFonts w:ascii="Arial" w:eastAsia="Arial" w:hAnsi="Arial" w:cs="Arial"/>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DA76" w14:textId="77777777" w:rsidR="00681D60" w:rsidRDefault="00681D60">
      <w:r>
        <w:separator/>
      </w:r>
    </w:p>
  </w:footnote>
  <w:footnote w:type="continuationSeparator" w:id="0">
    <w:p w14:paraId="0D0C4426" w14:textId="77777777" w:rsidR="00681D60" w:rsidRDefault="00681D60">
      <w:r>
        <w:continuationSeparator/>
      </w:r>
    </w:p>
  </w:footnote>
  <w:footnote w:id="1">
    <w:p w14:paraId="4811AB88" w14:textId="77777777" w:rsidR="003752B0" w:rsidRDefault="003752B0" w:rsidP="003752B0">
      <w:pPr>
        <w:pStyle w:val="FootnoteText"/>
      </w:pPr>
      <w:r>
        <w:rPr>
          <w:rStyle w:val="FootnoteReference"/>
        </w:rPr>
        <w:footnoteRef/>
      </w:r>
      <w:r>
        <w:t xml:space="preserve"> This document satisfies AAHRPP elements II.2.A, II.2.B, II.2.C, II.3.F, II.3.G</w:t>
      </w:r>
    </w:p>
  </w:footnote>
  <w:footnote w:id="2">
    <w:p w14:paraId="7091F9EE"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45 CFR §46.110(b)(1)</w:t>
      </w:r>
    </w:p>
  </w:footnote>
  <w:footnote w:id="3">
    <w:p w14:paraId="2B2E176C"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45 CFR §46.111(a)(7)</w:t>
      </w:r>
    </w:p>
  </w:footnote>
  <w:footnote w:id="4">
    <w:p w14:paraId="22455CBC"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footnote>
  <w:footnote w:id="5">
    <w:p w14:paraId="5A034B3F"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45 CFR §46.111(a)(7)</w:t>
      </w:r>
    </w:p>
  </w:footnote>
  <w:footnote w:id="6">
    <w:p w14:paraId="4B6A9D82"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87D6" w14:textId="77777777" w:rsidR="007E5A61" w:rsidRDefault="007E5A61">
    <w:pPr>
      <w:widowControl w:val="0"/>
      <w:pBdr>
        <w:top w:val="nil"/>
        <w:left w:val="nil"/>
        <w:bottom w:val="nil"/>
        <w:right w:val="nil"/>
        <w:between w:val="nil"/>
      </w:pBdr>
      <w:spacing w:line="276" w:lineRule="auto"/>
      <w:rPr>
        <w:color w:val="000000"/>
        <w:sz w:val="18"/>
        <w:szCs w:val="18"/>
      </w:rPr>
    </w:pPr>
  </w:p>
  <w:tbl>
    <w:tblPr>
      <w:tblStyle w:val="a1"/>
      <w:tblW w:w="10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44"/>
      <w:gridCol w:w="2403"/>
      <w:gridCol w:w="2265"/>
      <w:gridCol w:w="2294"/>
    </w:tblGrid>
    <w:tr w:rsidR="007E5A61" w14:paraId="330DB24F" w14:textId="77777777">
      <w:trPr>
        <w:trHeight w:val="260"/>
      </w:trPr>
      <w:tc>
        <w:tcPr>
          <w:tcW w:w="3844" w:type="dxa"/>
          <w:vMerge w:val="restart"/>
          <w:tcBorders>
            <w:top w:val="nil"/>
            <w:left w:val="nil"/>
            <w:bottom w:val="nil"/>
            <w:right w:val="single" w:sz="4" w:space="0" w:color="000000"/>
          </w:tcBorders>
          <w:vAlign w:val="center"/>
        </w:tcPr>
        <w:p w14:paraId="4AADCC79" w14:textId="3025706D" w:rsidR="007E5A61" w:rsidRDefault="00CB61A6">
          <w:pPr>
            <w:rPr>
              <w:rFonts w:ascii="Arial" w:eastAsia="Arial" w:hAnsi="Arial" w:cs="Arial"/>
            </w:rPr>
          </w:pPr>
          <w:r w:rsidRPr="00367AB3">
            <w:rPr>
              <w:rFonts w:ascii="Arial" w:eastAsiaTheme="minorHAnsi" w:hAnsi="Arial" w:cs="Arial"/>
              <w:b/>
              <w:bCs/>
              <w:noProof/>
              <w:color w:val="500000"/>
              <w:sz w:val="18"/>
              <w:szCs w:val="18"/>
            </w:rPr>
            <w:drawing>
              <wp:anchor distT="0" distB="0" distL="114300" distR="114300" simplePos="0" relativeHeight="251659264" behindDoc="1" locked="0" layoutInCell="1" allowOverlap="1" wp14:anchorId="2756D180" wp14:editId="368BC8D3">
                <wp:simplePos x="0" y="0"/>
                <wp:positionH relativeFrom="column">
                  <wp:posOffset>-1441450</wp:posOffset>
                </wp:positionH>
                <wp:positionV relativeFrom="paragraph">
                  <wp:posOffset>43815</wp:posOffset>
                </wp:positionV>
                <wp:extent cx="1685925" cy="455295"/>
                <wp:effectExtent l="0" t="0" r="952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552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962" w:type="dxa"/>
          <w:gridSpan w:val="3"/>
          <w:tcBorders>
            <w:top w:val="single" w:sz="4" w:space="0" w:color="000000"/>
            <w:left w:val="single" w:sz="4" w:space="0" w:color="000000"/>
            <w:bottom w:val="single" w:sz="4" w:space="0" w:color="000000"/>
            <w:right w:val="single" w:sz="4" w:space="0" w:color="000000"/>
          </w:tcBorders>
          <w:vAlign w:val="center"/>
        </w:tcPr>
        <w:p w14:paraId="088A0C7C" w14:textId="77777777" w:rsidR="007E5A61" w:rsidRDefault="00CE37F6">
          <w:pPr>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WORKSHEET: Limited IRB Review</w:t>
          </w:r>
        </w:p>
      </w:tc>
    </w:tr>
    <w:tr w:rsidR="007E5A61" w14:paraId="0863C3D9" w14:textId="77777777">
      <w:trPr>
        <w:trHeight w:val="280"/>
      </w:trPr>
      <w:tc>
        <w:tcPr>
          <w:tcW w:w="3844" w:type="dxa"/>
          <w:vMerge/>
          <w:tcBorders>
            <w:top w:val="nil"/>
            <w:left w:val="nil"/>
            <w:bottom w:val="nil"/>
            <w:right w:val="single" w:sz="4" w:space="0" w:color="000000"/>
          </w:tcBorders>
          <w:vAlign w:val="center"/>
        </w:tcPr>
        <w:p w14:paraId="2F7E628F" w14:textId="77777777" w:rsidR="007E5A61" w:rsidRDefault="007E5A61">
          <w:pPr>
            <w:widowControl w:val="0"/>
            <w:pBdr>
              <w:top w:val="nil"/>
              <w:left w:val="nil"/>
              <w:bottom w:val="nil"/>
              <w:right w:val="nil"/>
              <w:between w:val="nil"/>
            </w:pBdr>
            <w:spacing w:line="276" w:lineRule="auto"/>
            <w:rPr>
              <w:rFonts w:ascii="Arial" w:eastAsia="Arial" w:hAnsi="Arial" w:cs="Arial"/>
              <w:color w:val="000000"/>
            </w:rPr>
          </w:pPr>
        </w:p>
      </w:tc>
      <w:tc>
        <w:tcPr>
          <w:tcW w:w="240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1E97C3F8"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NUMBER</w:t>
          </w:r>
        </w:p>
      </w:tc>
      <w:tc>
        <w:tcPr>
          <w:tcW w:w="226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3F45C787"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DATE</w:t>
          </w:r>
        </w:p>
      </w:tc>
      <w:tc>
        <w:tcPr>
          <w:tcW w:w="229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730455FD"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PAGE</w:t>
          </w:r>
        </w:p>
      </w:tc>
    </w:tr>
    <w:tr w:rsidR="007E5A61" w14:paraId="50B05351" w14:textId="77777777">
      <w:trPr>
        <w:trHeight w:val="280"/>
      </w:trPr>
      <w:tc>
        <w:tcPr>
          <w:tcW w:w="3844" w:type="dxa"/>
          <w:vMerge/>
          <w:tcBorders>
            <w:top w:val="nil"/>
            <w:left w:val="nil"/>
            <w:bottom w:val="nil"/>
            <w:right w:val="single" w:sz="4" w:space="0" w:color="000000"/>
          </w:tcBorders>
          <w:vAlign w:val="center"/>
        </w:tcPr>
        <w:p w14:paraId="765D15E6" w14:textId="77777777" w:rsidR="007E5A61" w:rsidRDefault="007E5A61">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0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6C1E0FFD"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HRP-319</w:t>
          </w:r>
        </w:p>
      </w:tc>
      <w:tc>
        <w:tcPr>
          <w:tcW w:w="226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58584B6E" w14:textId="60EFF184" w:rsidR="007E5A61" w:rsidRDefault="0032671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5/1</w:t>
          </w:r>
          <w:r w:rsidR="00CB61A6">
            <w:rPr>
              <w:rFonts w:ascii="Arial" w:eastAsia="Arial" w:hAnsi="Arial" w:cs="Arial"/>
              <w:color w:val="000000"/>
              <w:sz w:val="18"/>
              <w:szCs w:val="18"/>
            </w:rPr>
            <w:t>/2022</w:t>
          </w:r>
        </w:p>
      </w:tc>
      <w:tc>
        <w:tcPr>
          <w:tcW w:w="229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4E5291CD" w14:textId="38878D61"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77B4C">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277B4C">
            <w:rPr>
              <w:rFonts w:ascii="Arial" w:eastAsia="Arial" w:hAnsi="Arial" w:cs="Arial"/>
              <w:noProof/>
              <w:color w:val="000000"/>
              <w:sz w:val="18"/>
              <w:szCs w:val="18"/>
            </w:rPr>
            <w:t>1</w:t>
          </w:r>
          <w:r>
            <w:rPr>
              <w:rFonts w:ascii="Arial" w:eastAsia="Arial" w:hAnsi="Arial" w:cs="Arial"/>
              <w:color w:val="000000"/>
              <w:sz w:val="18"/>
              <w:szCs w:val="18"/>
            </w:rPr>
            <w:fldChar w:fldCharType="end"/>
          </w:r>
        </w:p>
      </w:tc>
    </w:tr>
  </w:tbl>
  <w:p w14:paraId="17792F35" w14:textId="77777777" w:rsidR="007E5A61" w:rsidRDefault="007E5A6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60508"/>
    <w:multiLevelType w:val="multilevel"/>
    <w:tmpl w:val="7C2E8872"/>
    <w:lvl w:ilvl="0">
      <w:start w:val="1"/>
      <w:numFmt w:val="decimal"/>
      <w:lvlText w:val="%1"/>
      <w:lvlJc w:val="left"/>
      <w:pPr>
        <w:ind w:left="720" w:hanging="720"/>
      </w:pPr>
      <w:rPr>
        <w:rFonts w:ascii="Arimo" w:eastAsia="Arimo" w:hAnsi="Arimo" w:cs="Arimo"/>
      </w:rPr>
    </w:lvl>
    <w:lvl w:ilvl="1">
      <w:start w:val="1"/>
      <w:numFmt w:val="decimal"/>
      <w:lvlText w:val="☐  %1.%2"/>
      <w:lvlJc w:val="left"/>
      <w:pPr>
        <w:ind w:left="1080" w:hanging="720"/>
      </w:pPr>
      <w:rPr>
        <w:rFonts w:ascii="Arimo" w:eastAsia="Arimo" w:hAnsi="Arimo" w:cs="Arimo"/>
      </w:rPr>
    </w:lvl>
    <w:lvl w:ilvl="2">
      <w:start w:val="1"/>
      <w:numFmt w:val="decimal"/>
      <w:lvlText w:val="☐    %1.%2.%3"/>
      <w:lvlJc w:val="left"/>
      <w:pPr>
        <w:ind w:left="2268" w:hanging="1007"/>
      </w:pPr>
      <w:rPr>
        <w:rFonts w:ascii="Arimo" w:eastAsia="Arimo" w:hAnsi="Arimo" w:cs="Arimo"/>
      </w:rPr>
    </w:lvl>
    <w:lvl w:ilvl="3">
      <w:start w:val="1"/>
      <w:numFmt w:val="decimal"/>
      <w:lvlText w:val="☐    %1.%2.%3.%4"/>
      <w:lvlJc w:val="left"/>
      <w:pPr>
        <w:ind w:left="3744" w:hanging="1296"/>
      </w:pPr>
      <w:rPr>
        <w:rFonts w:ascii="Arimo" w:eastAsia="Arimo" w:hAnsi="Arimo" w:cs="Arimo"/>
        <w:strike w:val="0"/>
        <w:color w:val="000000"/>
        <w:vertAlign w:val="baseline"/>
      </w:rPr>
    </w:lvl>
    <w:lvl w:ilvl="4">
      <w:start w:val="1"/>
      <w:numFmt w:val="decimal"/>
      <w:lvlText w:val="%1.%2.%3.%4.%5"/>
      <w:lvlJc w:val="left"/>
      <w:pPr>
        <w:ind w:left="5328" w:hanging="1584"/>
      </w:pPr>
    </w:lvl>
    <w:lvl w:ilvl="5">
      <w:start w:val="1"/>
      <w:numFmt w:val="decimal"/>
      <w:lvlText w:val="%1.%2.%3.%4.%5.%6"/>
      <w:lvlJc w:val="left"/>
      <w:pPr>
        <w:ind w:left="7200" w:hanging="187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5616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61"/>
    <w:rsid w:val="00102CC8"/>
    <w:rsid w:val="00277B4C"/>
    <w:rsid w:val="0032671F"/>
    <w:rsid w:val="003752B0"/>
    <w:rsid w:val="004E0417"/>
    <w:rsid w:val="005027BE"/>
    <w:rsid w:val="00582D4D"/>
    <w:rsid w:val="00681D60"/>
    <w:rsid w:val="00695925"/>
    <w:rsid w:val="007877C7"/>
    <w:rsid w:val="007E5A61"/>
    <w:rsid w:val="00857037"/>
    <w:rsid w:val="00893EC5"/>
    <w:rsid w:val="008B2548"/>
    <w:rsid w:val="00AF6135"/>
    <w:rsid w:val="00BD5C8E"/>
    <w:rsid w:val="00CB61A6"/>
    <w:rsid w:val="00CD5A21"/>
    <w:rsid w:val="00CE37F6"/>
    <w:rsid w:val="00D4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77B4C"/>
    <w:rPr>
      <w:sz w:val="16"/>
      <w:szCs w:val="16"/>
    </w:rPr>
  </w:style>
  <w:style w:type="paragraph" w:styleId="CommentText">
    <w:name w:val="annotation text"/>
    <w:basedOn w:val="Normal"/>
    <w:link w:val="CommentTextChar"/>
    <w:uiPriority w:val="99"/>
    <w:semiHidden/>
    <w:unhideWhenUsed/>
    <w:rsid w:val="00277B4C"/>
    <w:rPr>
      <w:sz w:val="20"/>
      <w:szCs w:val="20"/>
    </w:rPr>
  </w:style>
  <w:style w:type="character" w:customStyle="1" w:styleId="CommentTextChar">
    <w:name w:val="Comment Text Char"/>
    <w:basedOn w:val="DefaultParagraphFont"/>
    <w:link w:val="CommentText"/>
    <w:uiPriority w:val="99"/>
    <w:semiHidden/>
    <w:rsid w:val="00277B4C"/>
    <w:rPr>
      <w:sz w:val="20"/>
      <w:szCs w:val="20"/>
    </w:rPr>
  </w:style>
  <w:style w:type="paragraph" w:styleId="CommentSubject">
    <w:name w:val="annotation subject"/>
    <w:basedOn w:val="CommentText"/>
    <w:next w:val="CommentText"/>
    <w:link w:val="CommentSubjectChar"/>
    <w:uiPriority w:val="99"/>
    <w:semiHidden/>
    <w:unhideWhenUsed/>
    <w:rsid w:val="00277B4C"/>
    <w:rPr>
      <w:b/>
      <w:bCs/>
    </w:rPr>
  </w:style>
  <w:style w:type="character" w:customStyle="1" w:styleId="CommentSubjectChar">
    <w:name w:val="Comment Subject Char"/>
    <w:basedOn w:val="CommentTextChar"/>
    <w:link w:val="CommentSubject"/>
    <w:uiPriority w:val="99"/>
    <w:semiHidden/>
    <w:rsid w:val="00277B4C"/>
    <w:rPr>
      <w:b/>
      <w:bCs/>
      <w:sz w:val="20"/>
      <w:szCs w:val="20"/>
    </w:rPr>
  </w:style>
  <w:style w:type="paragraph" w:styleId="BalloonText">
    <w:name w:val="Balloon Text"/>
    <w:basedOn w:val="Normal"/>
    <w:link w:val="BalloonTextChar"/>
    <w:uiPriority w:val="99"/>
    <w:semiHidden/>
    <w:unhideWhenUsed/>
    <w:rsid w:val="0027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4C"/>
    <w:rPr>
      <w:rFonts w:ascii="Segoe UI" w:hAnsi="Segoe UI" w:cs="Segoe UI"/>
      <w:sz w:val="18"/>
      <w:szCs w:val="18"/>
    </w:rPr>
  </w:style>
  <w:style w:type="paragraph" w:styleId="Header">
    <w:name w:val="header"/>
    <w:basedOn w:val="Normal"/>
    <w:link w:val="HeaderChar"/>
    <w:uiPriority w:val="99"/>
    <w:unhideWhenUsed/>
    <w:rsid w:val="00102CC8"/>
    <w:pPr>
      <w:tabs>
        <w:tab w:val="center" w:pos="4680"/>
        <w:tab w:val="right" w:pos="9360"/>
      </w:tabs>
    </w:pPr>
  </w:style>
  <w:style w:type="character" w:customStyle="1" w:styleId="HeaderChar">
    <w:name w:val="Header Char"/>
    <w:basedOn w:val="DefaultParagraphFont"/>
    <w:link w:val="Header"/>
    <w:uiPriority w:val="99"/>
    <w:rsid w:val="00102CC8"/>
  </w:style>
  <w:style w:type="paragraph" w:styleId="Footer">
    <w:name w:val="footer"/>
    <w:basedOn w:val="Normal"/>
    <w:link w:val="FooterChar"/>
    <w:uiPriority w:val="99"/>
    <w:unhideWhenUsed/>
    <w:rsid w:val="00102CC8"/>
    <w:pPr>
      <w:tabs>
        <w:tab w:val="center" w:pos="4680"/>
        <w:tab w:val="right" w:pos="9360"/>
      </w:tabs>
    </w:pPr>
  </w:style>
  <w:style w:type="character" w:customStyle="1" w:styleId="FooterChar">
    <w:name w:val="Footer Char"/>
    <w:basedOn w:val="DefaultParagraphFont"/>
    <w:link w:val="Footer"/>
    <w:uiPriority w:val="99"/>
    <w:rsid w:val="00102CC8"/>
  </w:style>
  <w:style w:type="paragraph" w:styleId="FootnoteText">
    <w:name w:val="footnote text"/>
    <w:basedOn w:val="Normal"/>
    <w:link w:val="FootnoteTextChar"/>
    <w:semiHidden/>
    <w:rsid w:val="003752B0"/>
    <w:rPr>
      <w:sz w:val="20"/>
      <w:szCs w:val="20"/>
    </w:rPr>
  </w:style>
  <w:style w:type="character" w:customStyle="1" w:styleId="FootnoteTextChar">
    <w:name w:val="Footnote Text Char"/>
    <w:basedOn w:val="DefaultParagraphFont"/>
    <w:link w:val="FootnoteText"/>
    <w:semiHidden/>
    <w:rsid w:val="003752B0"/>
    <w:rPr>
      <w:sz w:val="20"/>
      <w:szCs w:val="20"/>
    </w:rPr>
  </w:style>
  <w:style w:type="character" w:styleId="FootnoteReference">
    <w:name w:val="footnote reference"/>
    <w:semiHidden/>
    <w:rsid w:val="003752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16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142FF-75E5-498A-A1AC-FE4D192F63A4}">
  <ds:schemaRefs>
    <ds:schemaRef ds:uri="http://schemas.microsoft.com/sharepoint/v3/contenttype/forms"/>
  </ds:schemaRefs>
</ds:datastoreItem>
</file>

<file path=customXml/itemProps2.xml><?xml version="1.0" encoding="utf-8"?>
<ds:datastoreItem xmlns:ds="http://schemas.openxmlformats.org/officeDocument/2006/customXml" ds:itemID="{BD95E3F6-AF98-461A-B8A4-C5344FCD42D2}">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79da1339-76b9-4fe1-b76d-e45c3b2db929"/>
    <ds:schemaRef ds:uri="http://schemas.microsoft.com/office/2006/metadata/properties"/>
  </ds:schemaRefs>
</ds:datastoreItem>
</file>

<file path=customXml/itemProps3.xml><?xml version="1.0" encoding="utf-8"?>
<ds:datastoreItem xmlns:ds="http://schemas.openxmlformats.org/officeDocument/2006/customXml" ds:itemID="{FADBCD35-0735-408A-B6BF-3B3F7787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2022-04-11T06:07:00Z</dcterms:created>
  <dcterms:modified xsi:type="dcterms:W3CDTF">2022-06-01T23:24:00Z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