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9B70" w14:textId="77777777" w:rsidR="005B5A24" w:rsidRPr="008576AA" w:rsidRDefault="005B5A24" w:rsidP="00F95D1D">
      <w:pPr>
        <w:pStyle w:val="SOPLevel1"/>
      </w:pPr>
      <w:r w:rsidRPr="008576AA">
        <w:t>PURPOSE</w:t>
      </w:r>
    </w:p>
    <w:p w14:paraId="4A46FA71" w14:textId="6881CCE0" w:rsidR="005B5A24" w:rsidRDefault="00183D91" w:rsidP="00BA6AAD">
      <w:pPr>
        <w:pStyle w:val="SOPLevel2"/>
      </w:pPr>
      <w:r>
        <w:t xml:space="preserve">The </w:t>
      </w:r>
      <w:r w:rsidR="00630A44">
        <w:t xml:space="preserve">purpose of this process is to execute </w:t>
      </w:r>
      <w:r w:rsidR="00630A44" w:rsidRPr="00630A44">
        <w:rPr>
          <w:u w:val="double"/>
        </w:rPr>
        <w:t>Authorization Agreements</w:t>
      </w:r>
      <w:r>
        <w:t xml:space="preserve"> with other institutions.</w:t>
      </w:r>
      <w:r w:rsidR="00BB20B5">
        <w:rPr>
          <w:rStyle w:val="EndnoteReference"/>
        </w:rPr>
        <w:endnoteReference w:id="2"/>
      </w:r>
    </w:p>
    <w:p w14:paraId="2002AA54" w14:textId="77777777" w:rsidR="00183D91" w:rsidRDefault="00183D91" w:rsidP="00BA6AAD">
      <w:pPr>
        <w:pStyle w:val="SOPLevel2"/>
      </w:pPr>
      <w:r>
        <w:t xml:space="preserve">This process begins when an institution/organization has been identified for a potential </w:t>
      </w:r>
      <w:r w:rsidR="00630A44" w:rsidRPr="00630A44">
        <w:rPr>
          <w:u w:val="double"/>
        </w:rPr>
        <w:t>Authorization Agreement</w:t>
      </w:r>
      <w:r>
        <w:t>.</w:t>
      </w:r>
    </w:p>
    <w:p w14:paraId="214D13DC" w14:textId="0B86FEE2" w:rsidR="00183D91" w:rsidRPr="00E868D3" w:rsidRDefault="00183D91" w:rsidP="00BA6AAD">
      <w:pPr>
        <w:pStyle w:val="SOPLevel2"/>
      </w:pPr>
      <w:r>
        <w:t xml:space="preserve">This process ends when an </w:t>
      </w:r>
      <w:r w:rsidR="00630A44">
        <w:t>Institutional Profile has been established</w:t>
      </w:r>
      <w:r>
        <w:t>.</w:t>
      </w:r>
    </w:p>
    <w:p w14:paraId="24FFB35E" w14:textId="77777777" w:rsidR="005B5A24" w:rsidRPr="00E868D3" w:rsidRDefault="005B5A24" w:rsidP="008576AA">
      <w:pPr>
        <w:pStyle w:val="SOPLevel1"/>
      </w:pPr>
      <w:r w:rsidRPr="00E868D3">
        <w:t>REVISIONS FROM PREVIOUS VERSION</w:t>
      </w:r>
    </w:p>
    <w:p w14:paraId="0090EBD4" w14:textId="77777777" w:rsidR="005B5A24" w:rsidRPr="00E868D3" w:rsidRDefault="00183D91" w:rsidP="00BA6AAD">
      <w:pPr>
        <w:pStyle w:val="SOPLevel2"/>
      </w:pPr>
      <w:r>
        <w:t>None.</w:t>
      </w:r>
    </w:p>
    <w:p w14:paraId="52B3CCDA" w14:textId="77777777" w:rsidR="005B5A24" w:rsidRPr="00E868D3" w:rsidRDefault="005B5A24" w:rsidP="008576AA">
      <w:pPr>
        <w:pStyle w:val="SOPLevel1"/>
      </w:pPr>
      <w:r w:rsidRPr="00E868D3">
        <w:t>POLICY</w:t>
      </w:r>
    </w:p>
    <w:p w14:paraId="432917F2" w14:textId="5A253026" w:rsidR="00C53B7C" w:rsidRDefault="00C53B7C" w:rsidP="00BA6AAD">
      <w:pPr>
        <w:pStyle w:val="SOPLevel2"/>
        <w:rPr>
          <w:rFonts w:cs="Arial"/>
          <w:szCs w:val="20"/>
        </w:rPr>
      </w:pPr>
      <w:r>
        <w:rPr>
          <w:rStyle w:val="normaltextrun"/>
          <w:rFonts w:cs="Arial"/>
          <w:color w:val="000000"/>
          <w:szCs w:val="20"/>
          <w:shd w:val="clear" w:color="auto" w:fill="FFFFFF"/>
        </w:rPr>
        <w:t>HRP-101 - Human Research Protection Program Plan details the criteria for reviewing for or relying on other institutions/organizations.</w:t>
      </w:r>
      <w:r>
        <w:rPr>
          <w:rStyle w:val="eop"/>
          <w:rFonts w:cs="Arial"/>
          <w:color w:val="000000"/>
          <w:szCs w:val="20"/>
          <w:shd w:val="clear" w:color="auto" w:fill="FFFFFF"/>
        </w:rPr>
        <w:t> </w:t>
      </w:r>
    </w:p>
    <w:p w14:paraId="200DF84C" w14:textId="75F726E0" w:rsidR="00073FCE" w:rsidRPr="00935E0C" w:rsidRDefault="00017438" w:rsidP="00BA6AAD">
      <w:pPr>
        <w:pStyle w:val="SOPLevel2"/>
        <w:rPr>
          <w:rFonts w:cs="Arial"/>
          <w:szCs w:val="20"/>
        </w:rPr>
      </w:pPr>
      <w:r w:rsidRPr="00935E0C">
        <w:rPr>
          <w:rFonts w:cs="Arial"/>
          <w:szCs w:val="20"/>
        </w:rPr>
        <w:t>TAMU</w:t>
      </w:r>
      <w:r w:rsidR="00073FCE" w:rsidRPr="00935E0C">
        <w:rPr>
          <w:rFonts w:cs="Arial"/>
          <w:szCs w:val="20"/>
        </w:rPr>
        <w:t xml:space="preserve"> may</w:t>
      </w:r>
      <w:r w:rsidR="002F408C">
        <w:rPr>
          <w:rFonts w:cs="Arial"/>
          <w:szCs w:val="20"/>
        </w:rPr>
        <w:t xml:space="preserve"> request an Institutional Profile through communications with the </w:t>
      </w:r>
      <w:r w:rsidR="0047190E">
        <w:rPr>
          <w:rFonts w:cs="Arial"/>
          <w:szCs w:val="20"/>
        </w:rPr>
        <w:t>relying</w:t>
      </w:r>
      <w:r w:rsidR="002F408C">
        <w:rPr>
          <w:rFonts w:cs="Arial"/>
          <w:szCs w:val="20"/>
        </w:rPr>
        <w:t xml:space="preserve"> site</w:t>
      </w:r>
      <w:r w:rsidR="0047190E">
        <w:rPr>
          <w:rFonts w:cs="Arial"/>
          <w:szCs w:val="20"/>
        </w:rPr>
        <w:t>(s)</w:t>
      </w:r>
      <w:r w:rsidR="002F408C">
        <w:rPr>
          <w:rFonts w:cs="Arial"/>
          <w:szCs w:val="20"/>
        </w:rPr>
        <w:t xml:space="preserve"> or</w:t>
      </w:r>
      <w:r w:rsidR="00073FCE" w:rsidRPr="00935E0C">
        <w:rPr>
          <w:rFonts w:cs="Arial"/>
          <w:szCs w:val="20"/>
        </w:rPr>
        <w:t xml:space="preserve"> leverage an existing Institutional Profile to collect information. For example, Institutional Profiles created for the SMART IRB platform are acceptable. </w:t>
      </w:r>
    </w:p>
    <w:p w14:paraId="5586AB79" w14:textId="39111369" w:rsidR="00E737BC" w:rsidRPr="00855C6A" w:rsidRDefault="00876CAA" w:rsidP="00855C6A">
      <w:pPr>
        <w:pStyle w:val="SOPLevel2"/>
        <w:rPr>
          <w:szCs w:val="20"/>
        </w:rPr>
      </w:pPr>
      <w:r w:rsidRPr="002F408C">
        <w:t>There will be a formal written agreement between TAMU and the External IRB</w:t>
      </w:r>
      <w:r w:rsidR="00AE756C" w:rsidRPr="002F408C">
        <w:t xml:space="preserve"> or relying site(s)</w:t>
      </w:r>
      <w:r w:rsidRPr="002F408C">
        <w:t xml:space="preserve"> delineating the roles and specific responsibilities of each party.</w:t>
      </w:r>
    </w:p>
    <w:p w14:paraId="7F9DF2DD" w14:textId="24AA6C7F" w:rsidR="00855C6A" w:rsidRPr="00855C6A" w:rsidRDefault="00855C6A" w:rsidP="00855C6A">
      <w:pPr>
        <w:pStyle w:val="SOPLevel2"/>
      </w:pPr>
      <w:r w:rsidRPr="00935E0C">
        <w:t xml:space="preserve">The institution may leverage the SMART IRB agreement, the OHRP </w:t>
      </w:r>
      <w:r w:rsidRPr="00935E0C">
        <w:rPr>
          <w:u w:val="double"/>
        </w:rPr>
        <w:t>Authorization Agreement</w:t>
      </w:r>
      <w:r w:rsidRPr="00935E0C">
        <w:t xml:space="preserve"> template or create a local </w:t>
      </w:r>
      <w:r w:rsidRPr="00935E0C">
        <w:rPr>
          <w:u w:val="double"/>
        </w:rPr>
        <w:t>Authorization Agreement</w:t>
      </w:r>
      <w:r w:rsidRPr="00935E0C">
        <w:t xml:space="preserve"> to establish reliance.  </w:t>
      </w:r>
    </w:p>
    <w:p w14:paraId="04D9D0CF" w14:textId="77777777" w:rsidR="00855C6A" w:rsidRPr="002F408C" w:rsidRDefault="00855C6A" w:rsidP="00855C6A">
      <w:pPr>
        <w:pStyle w:val="SOPLevel2"/>
        <w:rPr>
          <w:szCs w:val="20"/>
        </w:rPr>
      </w:pPr>
      <w:r w:rsidRPr="002F408C">
        <w:t>TAMU investigators may not initiate or engage in any human research activities until the TAMU HRPP has evaluated and acknowledged a new study application in the electronic system regardless of any External IRB approval.</w:t>
      </w:r>
    </w:p>
    <w:p w14:paraId="28133B61" w14:textId="77777777" w:rsidR="00855C6A" w:rsidRPr="002F408C" w:rsidRDefault="00855C6A" w:rsidP="00855C6A">
      <w:pPr>
        <w:pStyle w:val="SOPLevel3"/>
        <w:numPr>
          <w:ilvl w:val="0"/>
          <w:numId w:val="0"/>
        </w:numPr>
        <w:tabs>
          <w:tab w:val="left" w:pos="900"/>
        </w:tabs>
        <w:ind w:left="900"/>
        <w:rPr>
          <w:rFonts w:cs="Arial"/>
          <w:szCs w:val="20"/>
        </w:rPr>
      </w:pPr>
    </w:p>
    <w:p w14:paraId="1D1413CC" w14:textId="77777777" w:rsidR="005B5A24" w:rsidRPr="00E868D3" w:rsidRDefault="005B5A24" w:rsidP="00BF7BB0">
      <w:pPr>
        <w:pStyle w:val="SOPLevel1"/>
      </w:pPr>
      <w:r w:rsidRPr="00E868D3">
        <w:t>RESPONSIBILITIES</w:t>
      </w:r>
    </w:p>
    <w:p w14:paraId="2648307C" w14:textId="4078A44F" w:rsidR="005B5A24" w:rsidRPr="00E868D3" w:rsidRDefault="00F240A2" w:rsidP="00243D14">
      <w:pPr>
        <w:pStyle w:val="SOPLevel2"/>
      </w:pPr>
      <w:r w:rsidRPr="00855C6A">
        <w:t>The Institution’</w:t>
      </w:r>
      <w:r w:rsidR="0059747C" w:rsidRPr="00855C6A">
        <w:t>s</w:t>
      </w:r>
      <w:r w:rsidRPr="00855C6A">
        <w:t xml:space="preserve"> investigators in conjunction with the</w:t>
      </w:r>
      <w:r>
        <w:t xml:space="preserve"> </w:t>
      </w:r>
      <w:r w:rsidR="00935E0C">
        <w:t>IRB staff</w:t>
      </w:r>
      <w:r w:rsidR="00183D91">
        <w:t xml:space="preserve"> generally carries out these procedures.</w:t>
      </w:r>
      <w:r w:rsidR="00805A31">
        <w:t xml:space="preserve"> The </w:t>
      </w:r>
      <w:r w:rsidR="003E57BD">
        <w:rPr>
          <w:u w:val="double"/>
        </w:rPr>
        <w:t>IO/OO</w:t>
      </w:r>
      <w:r w:rsidR="00805A31">
        <w:t xml:space="preserve"> or HRPP Director may also participate in reliance determinations.</w:t>
      </w:r>
    </w:p>
    <w:p w14:paraId="3A78C171" w14:textId="77777777" w:rsidR="005B5A24" w:rsidRPr="00E868D3" w:rsidRDefault="005B5A24" w:rsidP="008576AA">
      <w:pPr>
        <w:pStyle w:val="SOPLevel1"/>
      </w:pPr>
      <w:r w:rsidRPr="00E868D3">
        <w:t>PROCEDURE</w:t>
      </w:r>
    </w:p>
    <w:p w14:paraId="6B3FE3D5" w14:textId="77777777" w:rsidR="00BB20B5" w:rsidRDefault="00183D91" w:rsidP="00B03376">
      <w:pPr>
        <w:pStyle w:val="SOPLevel2"/>
      </w:pPr>
      <w:r>
        <w:t xml:space="preserve">Determine whether an </w:t>
      </w:r>
      <w:r w:rsidR="00630A44" w:rsidRPr="00630A44">
        <w:rPr>
          <w:u w:val="double"/>
        </w:rPr>
        <w:t>Authorization Agreement</w:t>
      </w:r>
      <w:r w:rsidR="00630A44">
        <w:t xml:space="preserve"> </w:t>
      </w:r>
      <w:r w:rsidR="00BB20B5">
        <w:t>is already in place between or among the institutions in question.</w:t>
      </w:r>
    </w:p>
    <w:p w14:paraId="487B4A9F" w14:textId="726E638B" w:rsidR="00BB20B5" w:rsidRDefault="00BB20B5" w:rsidP="00BB20B5">
      <w:pPr>
        <w:pStyle w:val="SOPLevel3"/>
      </w:pPr>
      <w:r>
        <w:t xml:space="preserve">If a valid </w:t>
      </w:r>
      <w:r w:rsidRPr="00630A44">
        <w:rPr>
          <w:u w:val="double"/>
        </w:rPr>
        <w:t>Authorization Agreement</w:t>
      </w:r>
      <w:r>
        <w:t xml:space="preserve"> is already in place, proceed with </w:t>
      </w:r>
      <w:r w:rsidRPr="00BB20B5">
        <w:t>HRP-</w:t>
      </w:r>
      <w:r w:rsidR="00736CAF">
        <w:t>80</w:t>
      </w:r>
      <w:r w:rsidR="71394486">
        <w:t>3</w:t>
      </w:r>
      <w:r w:rsidR="00736CAF">
        <w:t xml:space="preserve"> </w:t>
      </w:r>
      <w:r w:rsidRPr="00BB20B5">
        <w:t xml:space="preserve">- SOP - </w:t>
      </w:r>
      <w:r w:rsidR="00736CAF">
        <w:t>Reliance Pre-Review</w:t>
      </w:r>
      <w:r>
        <w:t xml:space="preserve">. </w:t>
      </w:r>
    </w:p>
    <w:p w14:paraId="45A1CEF6" w14:textId="192976C5" w:rsidR="005B5A24" w:rsidRDefault="00BB20B5" w:rsidP="003F47DA">
      <w:pPr>
        <w:pStyle w:val="SOPLevel3"/>
      </w:pPr>
      <w:r>
        <w:t xml:space="preserve">If no </w:t>
      </w:r>
      <w:r w:rsidRPr="00630A44">
        <w:rPr>
          <w:u w:val="double"/>
        </w:rPr>
        <w:t>Authorization Agreement</w:t>
      </w:r>
      <w:r>
        <w:t xml:space="preserve"> is in place, and one is required, proceed with step 5.2 below.</w:t>
      </w:r>
    </w:p>
    <w:p w14:paraId="0BAA660C" w14:textId="77777777" w:rsidR="00805A31" w:rsidRDefault="00BB20B5" w:rsidP="00B03376">
      <w:pPr>
        <w:pStyle w:val="SOPLevel2"/>
      </w:pPr>
      <w:r>
        <w:t>Determine whether the criteria for reviewing for or relying on other institutions/organizations are met</w:t>
      </w:r>
      <w:r w:rsidR="00805A31">
        <w:t>:</w:t>
      </w:r>
    </w:p>
    <w:p w14:paraId="426C8EB8" w14:textId="29C561C9" w:rsidR="00805A31" w:rsidRDefault="00805A31" w:rsidP="00805A31">
      <w:pPr>
        <w:pStyle w:val="SOPLevel3"/>
      </w:pPr>
      <w:r>
        <w:t xml:space="preserve">Review </w:t>
      </w:r>
      <w:r w:rsidR="00DF1A89">
        <w:t xml:space="preserve">HRP-101 - </w:t>
      </w:r>
      <w:r>
        <w:t>Human Research Protection Program Plan to determine if basic criteria are met.</w:t>
      </w:r>
    </w:p>
    <w:p w14:paraId="41A17A22" w14:textId="77777777" w:rsidR="00011BC0" w:rsidRDefault="00011BC0" w:rsidP="00096A6F">
      <w:pPr>
        <w:pStyle w:val="SOPLevel4"/>
      </w:pPr>
      <w:r>
        <w:t xml:space="preserve">If the criteria have not been met, do not execute an </w:t>
      </w:r>
      <w:r w:rsidRPr="00630A44">
        <w:rPr>
          <w:u w:val="double"/>
        </w:rPr>
        <w:t>Authorization Agreement</w:t>
      </w:r>
      <w:r>
        <w:t>. Communicate this to the other institution/organization.</w:t>
      </w:r>
    </w:p>
    <w:p w14:paraId="431F6394" w14:textId="6FBC28D2" w:rsidR="00805A31" w:rsidRDefault="00805A31" w:rsidP="00805A31">
      <w:pPr>
        <w:pStyle w:val="SOPLevel3"/>
      </w:pPr>
      <w:r>
        <w:t xml:space="preserve">If there is a request for your institution to rely on another institution’s IRB, use </w:t>
      </w:r>
      <w:r w:rsidR="00DF1A89">
        <w:t xml:space="preserve">HRP-832 - </w:t>
      </w:r>
      <w:r>
        <w:t>WORKSHEET</w:t>
      </w:r>
      <w:r w:rsidR="00DF1A89">
        <w:t xml:space="preserve"> - </w:t>
      </w:r>
      <w:r w:rsidR="00921DBD" w:rsidRPr="00921DBD">
        <w:t>Considerations for Ceding IRB Review</w:t>
      </w:r>
      <w:r w:rsidR="00921DBD" w:rsidRPr="00921DBD" w:rsidDel="00921DBD">
        <w:t xml:space="preserve"> </w:t>
      </w:r>
      <w:r>
        <w:t xml:space="preserve">to </w:t>
      </w:r>
      <w:r w:rsidR="00011BC0">
        <w:t>inform your determination of</w:t>
      </w:r>
      <w:r>
        <w:t xml:space="preserve"> whether your institution will rely on another institution’s IRB. </w:t>
      </w:r>
    </w:p>
    <w:p w14:paraId="5D8C6158" w14:textId="4009B9CB" w:rsidR="00011BC0" w:rsidRPr="00011BC0" w:rsidRDefault="00011BC0" w:rsidP="00011BC0">
      <w:pPr>
        <w:pStyle w:val="SOPLevel3"/>
      </w:pPr>
      <w:r>
        <w:t xml:space="preserve">If an </w:t>
      </w:r>
      <w:r w:rsidRPr="00011BC0">
        <w:t xml:space="preserve">institution is requesting to rely on your institution’s IRB, use </w:t>
      </w:r>
      <w:r w:rsidR="00DF1A89" w:rsidRPr="00011BC0">
        <w:t xml:space="preserve">HRP-833 </w:t>
      </w:r>
      <w:r w:rsidR="00DF1A89">
        <w:t xml:space="preserve">- </w:t>
      </w:r>
      <w:r w:rsidRPr="00011BC0">
        <w:t xml:space="preserve">WORKSHEET </w:t>
      </w:r>
      <w:r w:rsidR="00DF1A89">
        <w:t xml:space="preserve">- </w:t>
      </w:r>
      <w:r w:rsidR="00921DBD" w:rsidRPr="00921DBD">
        <w:t>Considerations for Serving as the sIRB</w:t>
      </w:r>
      <w:r w:rsidR="00921DBD" w:rsidRPr="00921DBD" w:rsidDel="00921DBD">
        <w:t xml:space="preserve"> </w:t>
      </w:r>
      <w:r w:rsidRPr="00011BC0">
        <w:t xml:space="preserve">to </w:t>
      </w:r>
      <w:r>
        <w:t xml:space="preserve">inform your </w:t>
      </w:r>
      <w:r w:rsidRPr="00011BC0">
        <w:t>determin</w:t>
      </w:r>
      <w:r>
        <w:t>ation of</w:t>
      </w:r>
      <w:r w:rsidRPr="00011BC0">
        <w:t xml:space="preserve"> whether your institution’s IRB will serve as the sIRB. </w:t>
      </w:r>
    </w:p>
    <w:p w14:paraId="6B8D9512" w14:textId="1E4EBA4A" w:rsidR="00183D91" w:rsidRDefault="001C1B58" w:rsidP="00B03376">
      <w:pPr>
        <w:pStyle w:val="SOPLevel2"/>
      </w:pPr>
      <w:r>
        <w:t>If the criteria have been met, e</w:t>
      </w:r>
      <w:r w:rsidR="00C329C8">
        <w:t>xecute</w:t>
      </w:r>
      <w:r w:rsidR="00183D91">
        <w:t xml:space="preserve"> an </w:t>
      </w:r>
      <w:r w:rsidR="00183D91" w:rsidRPr="00630A44">
        <w:rPr>
          <w:u w:val="double"/>
        </w:rPr>
        <w:t>Authorization Agreement</w:t>
      </w:r>
      <w:r w:rsidR="00183D91">
        <w:t xml:space="preserve"> with that institution/organization.</w:t>
      </w:r>
    </w:p>
    <w:p w14:paraId="319CCE59" w14:textId="77777777" w:rsidR="00183D91" w:rsidRDefault="00183D91" w:rsidP="00183D91">
      <w:pPr>
        <w:pStyle w:val="SOPLevel3"/>
      </w:pPr>
      <w:r>
        <w:t xml:space="preserve">Indicate in the agreement the conditions under which </w:t>
      </w:r>
      <w:r w:rsidR="008D4469">
        <w:t>you serve as the IRB of record for that institution/organization.</w:t>
      </w:r>
    </w:p>
    <w:p w14:paraId="67A4FB14" w14:textId="77777777" w:rsidR="008D4469" w:rsidRDefault="008D4469" w:rsidP="00183D91">
      <w:pPr>
        <w:pStyle w:val="SOPLevel3"/>
      </w:pPr>
      <w:r>
        <w:t>Indicate in the agreement the conditions under which that institution/organization will serve as the IRB of record for you.</w:t>
      </w:r>
    </w:p>
    <w:p w14:paraId="3F412ACC" w14:textId="77777777" w:rsidR="00183D91" w:rsidRDefault="008D4469" w:rsidP="00183D91">
      <w:pPr>
        <w:pStyle w:val="SOPLevel3"/>
      </w:pPr>
      <w:r>
        <w:t>I</w:t>
      </w:r>
      <w:r w:rsidR="00183D91">
        <w:t>nclude the following</w:t>
      </w:r>
      <w:r>
        <w:t xml:space="preserve"> in the </w:t>
      </w:r>
      <w:r w:rsidRPr="00630A44">
        <w:rPr>
          <w:u w:val="double"/>
        </w:rPr>
        <w:t>Authorization Agreement</w:t>
      </w:r>
      <w:r>
        <w:t>, or as (an) addendum(s</w:t>
      </w:r>
      <w:r w:rsidR="00630A44">
        <w:t>)</w:t>
      </w:r>
      <w:r w:rsidR="00183D91">
        <w:t>:</w:t>
      </w:r>
    </w:p>
    <w:p w14:paraId="4213A99A" w14:textId="44C29C2F" w:rsidR="00183D91" w:rsidRDefault="008D4469" w:rsidP="00183D91">
      <w:pPr>
        <w:pStyle w:val="SOPLevel4"/>
      </w:pPr>
      <w:r>
        <w:lastRenderedPageBreak/>
        <w:t>A communication plan.</w:t>
      </w:r>
      <w:r w:rsidR="005A5755">
        <w:t xml:space="preserve"> Use </w:t>
      </w:r>
      <w:r w:rsidR="00DF1A89">
        <w:t>HRP-</w:t>
      </w:r>
      <w:r w:rsidR="00736CAF">
        <w:t xml:space="preserve">830 </w:t>
      </w:r>
      <w:r w:rsidR="00DF1A89">
        <w:t xml:space="preserve">- </w:t>
      </w:r>
      <w:r w:rsidR="005A5755">
        <w:t xml:space="preserve">WORKSHEET </w:t>
      </w:r>
      <w:r w:rsidR="00DF1A89">
        <w:t xml:space="preserve">- </w:t>
      </w:r>
      <w:r w:rsidR="005A5755">
        <w:t>Communic</w:t>
      </w:r>
      <w:r w:rsidR="009E0F71">
        <w:t>ation and Responsibilities</w:t>
      </w:r>
      <w:r w:rsidR="005A5755">
        <w:t xml:space="preserve"> to create a communication plan.</w:t>
      </w:r>
    </w:p>
    <w:p w14:paraId="075E5C74" w14:textId="1997D0F5" w:rsidR="00183D91" w:rsidRDefault="00183D91" w:rsidP="00183D91">
      <w:pPr>
        <w:pStyle w:val="SOPLevel4"/>
      </w:pPr>
      <w:r>
        <w:t>Consent form instructions</w:t>
      </w:r>
      <w:r w:rsidR="00805A31">
        <w:t>, including instructions for the institution/organization to provide local contact information and details regarding compensation for research-related injuries.</w:t>
      </w:r>
    </w:p>
    <w:p w14:paraId="4A0D8A02" w14:textId="77777777" w:rsidR="00183D91" w:rsidRDefault="00183D91" w:rsidP="00183D91">
      <w:pPr>
        <w:pStyle w:val="SOPLevel4"/>
      </w:pPr>
      <w:r>
        <w:t>Recruitment material instructions.</w:t>
      </w:r>
    </w:p>
    <w:p w14:paraId="04744D97" w14:textId="73F10DDC" w:rsidR="00183D91" w:rsidRDefault="008D4469" w:rsidP="00183D91">
      <w:pPr>
        <w:pStyle w:val="SOPLevel4"/>
      </w:pPr>
      <w:r>
        <w:t>New information reporting instructions.</w:t>
      </w:r>
    </w:p>
    <w:p w14:paraId="7B4C3A2A" w14:textId="77777777" w:rsidR="00805A31" w:rsidRDefault="00805A31" w:rsidP="00805A31">
      <w:pPr>
        <w:pStyle w:val="SOPLevel4"/>
      </w:pPr>
      <w:r>
        <w:t>Required terms.</w:t>
      </w:r>
    </w:p>
    <w:p w14:paraId="36605D17" w14:textId="77777777" w:rsidR="00805A31" w:rsidRDefault="00805A31" w:rsidP="00805A31">
      <w:pPr>
        <w:pStyle w:val="SOPLevel4"/>
      </w:pPr>
      <w:r>
        <w:t>Negotiable terms.</w:t>
      </w:r>
    </w:p>
    <w:p w14:paraId="29E00144" w14:textId="7037F801" w:rsidR="00805A31" w:rsidRDefault="00805A31" w:rsidP="00805A31">
      <w:pPr>
        <w:pStyle w:val="SOPLevel4"/>
      </w:pPr>
      <w:r>
        <w:t>The process for adding participating sites or additional research to existing agreements.</w:t>
      </w:r>
    </w:p>
    <w:p w14:paraId="01AD957B" w14:textId="5B61E7A1" w:rsidR="00805A31" w:rsidRDefault="00805A31" w:rsidP="00805A31">
      <w:pPr>
        <w:pStyle w:val="SOPLevel4"/>
      </w:pPr>
      <w:r>
        <w:t xml:space="preserve">Relevant tribal, state, or non-US laws, regulations, or policies, such as age of majority, circumstances that affect the age of consent, who can serve as a </w:t>
      </w:r>
      <w:r w:rsidRPr="00882401">
        <w:rPr>
          <w:u w:val="double"/>
        </w:rPr>
        <w:t>Legally Authorized Representative</w:t>
      </w:r>
      <w:r>
        <w:t xml:space="preserve">, and other information that may not be identified elsewhere in the </w:t>
      </w:r>
      <w:r w:rsidRPr="00882401">
        <w:rPr>
          <w:u w:val="double"/>
        </w:rPr>
        <w:t>Authorization Agreement</w:t>
      </w:r>
      <w:r>
        <w:t>.</w:t>
      </w:r>
    </w:p>
    <w:p w14:paraId="43E63336" w14:textId="0B6BAE73" w:rsidR="007F7840" w:rsidRDefault="00855C6A" w:rsidP="00C919DE">
      <w:pPr>
        <w:pStyle w:val="SOPLevel3"/>
      </w:pPr>
      <w:r>
        <w:t xml:space="preserve">Record and </w:t>
      </w:r>
      <w:r w:rsidR="001C1B58">
        <w:t xml:space="preserve">File the </w:t>
      </w:r>
      <w:r w:rsidR="00DF1A89">
        <w:t xml:space="preserve">HRP-815 - </w:t>
      </w:r>
      <w:r w:rsidR="001C1B58">
        <w:t>F</w:t>
      </w:r>
      <w:r w:rsidR="009E0F71">
        <w:t xml:space="preserve">ORM </w:t>
      </w:r>
      <w:r w:rsidR="00DF1A89">
        <w:t xml:space="preserve">- </w:t>
      </w:r>
      <w:r w:rsidR="009E0F71">
        <w:t>Institutional Profile</w:t>
      </w:r>
      <w:r w:rsidR="001C1B58">
        <w:t xml:space="preserve"> and the </w:t>
      </w:r>
      <w:r w:rsidR="001C1B58" w:rsidRPr="003F47DA">
        <w:rPr>
          <w:u w:val="double"/>
        </w:rPr>
        <w:t>Authorization Agreement</w:t>
      </w:r>
      <w:r w:rsidR="001C1B58">
        <w:t xml:space="preserve"> (and any addendums) </w:t>
      </w:r>
      <w:r>
        <w:t xml:space="preserve">in the study record or </w:t>
      </w:r>
      <w:r w:rsidR="001C1B58">
        <w:t xml:space="preserve">together </w:t>
      </w:r>
      <w:r>
        <w:t xml:space="preserve">in a shared file </w:t>
      </w:r>
      <w:r w:rsidR="001C1B58">
        <w:t>for future reference.</w:t>
      </w:r>
    </w:p>
    <w:p w14:paraId="08869F23" w14:textId="77777777" w:rsidR="002F39F1" w:rsidRDefault="002F39F1" w:rsidP="002F39F1">
      <w:pPr>
        <w:pStyle w:val="SOPLevel3"/>
        <w:numPr>
          <w:ilvl w:val="0"/>
          <w:numId w:val="0"/>
        </w:numPr>
        <w:ind w:left="936"/>
      </w:pPr>
    </w:p>
    <w:p w14:paraId="789F21F9" w14:textId="3844D683" w:rsidR="005B5A24" w:rsidRPr="008576AA" w:rsidRDefault="005B5A24" w:rsidP="008576AA">
      <w:pPr>
        <w:pStyle w:val="SOPLevel1"/>
      </w:pPr>
      <w:r w:rsidRPr="008576AA">
        <w:t>MATERIALS</w:t>
      </w:r>
    </w:p>
    <w:p w14:paraId="2831B7B0" w14:textId="77777777" w:rsidR="00736CAF" w:rsidRDefault="00DF1A89" w:rsidP="00365A55">
      <w:pPr>
        <w:pStyle w:val="SOPLevel2"/>
      </w:pPr>
      <w:r>
        <w:t xml:space="preserve">HRP-101 - </w:t>
      </w:r>
      <w:r w:rsidR="00723EB5">
        <w:t>Human Research Protection Program Plan</w:t>
      </w:r>
    </w:p>
    <w:p w14:paraId="0BE738C2" w14:textId="764F9938" w:rsidR="00723EB5" w:rsidRDefault="00736CAF" w:rsidP="00365A55">
      <w:pPr>
        <w:pStyle w:val="SOPLevel2"/>
      </w:pPr>
      <w:r>
        <w:t>HRP-80</w:t>
      </w:r>
      <w:r w:rsidR="00C30346">
        <w:t>3</w:t>
      </w:r>
      <w:r>
        <w:t xml:space="preserve"> - Reliance Pre-Review</w:t>
      </w:r>
      <w:r w:rsidR="00723EB5">
        <w:t xml:space="preserve"> </w:t>
      </w:r>
    </w:p>
    <w:p w14:paraId="40792226" w14:textId="4BBA55F1" w:rsidR="005B5A24" w:rsidRDefault="00DF1A89" w:rsidP="00365A55">
      <w:pPr>
        <w:pStyle w:val="SOPLevel2"/>
      </w:pPr>
      <w:r>
        <w:t xml:space="preserve">HRP-815 - </w:t>
      </w:r>
      <w:r w:rsidR="001C1B58">
        <w:t>F</w:t>
      </w:r>
      <w:r w:rsidR="009E0F71">
        <w:t xml:space="preserve">ORM </w:t>
      </w:r>
      <w:r>
        <w:t xml:space="preserve">- </w:t>
      </w:r>
      <w:r w:rsidR="009E0F71">
        <w:t>Institutional Profile</w:t>
      </w:r>
    </w:p>
    <w:p w14:paraId="77A27EB5" w14:textId="2C9AEB71" w:rsidR="007F5B24" w:rsidRDefault="00DF1A89" w:rsidP="00365A55">
      <w:pPr>
        <w:pStyle w:val="SOPLevel2"/>
      </w:pPr>
      <w:r>
        <w:t xml:space="preserve">HRP-830 - </w:t>
      </w:r>
      <w:r w:rsidR="007F5B24">
        <w:t xml:space="preserve">WORKSHEET </w:t>
      </w:r>
      <w:r>
        <w:t xml:space="preserve">- </w:t>
      </w:r>
      <w:r w:rsidR="007F5B24">
        <w:t>Communic</w:t>
      </w:r>
      <w:r w:rsidR="009E0F71">
        <w:t>ation and Responsibilities</w:t>
      </w:r>
    </w:p>
    <w:p w14:paraId="561E891C" w14:textId="4E471801" w:rsidR="00921DBD" w:rsidRDefault="00DF1A89" w:rsidP="00365A55">
      <w:pPr>
        <w:pStyle w:val="SOPLevel2"/>
      </w:pPr>
      <w:r>
        <w:t xml:space="preserve">HRP-832 - </w:t>
      </w:r>
      <w:r w:rsidR="00DE2B86">
        <w:t xml:space="preserve">WORKSHEET </w:t>
      </w:r>
      <w:r>
        <w:t xml:space="preserve">- </w:t>
      </w:r>
      <w:r w:rsidR="00921DBD" w:rsidRPr="00921DBD">
        <w:t>Considerations for Ceding IRB Review</w:t>
      </w:r>
      <w:r w:rsidR="00921DBD" w:rsidRPr="00921DBD" w:rsidDel="00921DBD">
        <w:t xml:space="preserve"> </w:t>
      </w:r>
    </w:p>
    <w:p w14:paraId="0C61E56A" w14:textId="4A74B811" w:rsidR="00DE2B86" w:rsidRDefault="00DF1A89" w:rsidP="00365A55">
      <w:pPr>
        <w:pStyle w:val="SOPLevel2"/>
      </w:pPr>
      <w:r>
        <w:t xml:space="preserve">HRP-833 - </w:t>
      </w:r>
      <w:r w:rsidR="00DE2B86">
        <w:t xml:space="preserve">WORKSHEET </w:t>
      </w:r>
      <w:r>
        <w:t xml:space="preserve">- </w:t>
      </w:r>
      <w:r w:rsidR="00921DBD" w:rsidRPr="00921DBD">
        <w:t>Considerations for Serving as the sIRB</w:t>
      </w:r>
      <w:r w:rsidR="00921DBD" w:rsidRPr="00921DBD" w:rsidDel="00921DBD">
        <w:t xml:space="preserve"> </w:t>
      </w:r>
    </w:p>
    <w:p w14:paraId="1C7D5F55" w14:textId="77777777" w:rsidR="005B5A24" w:rsidRPr="008576AA" w:rsidRDefault="005B5A24" w:rsidP="008576AA">
      <w:pPr>
        <w:pStyle w:val="SOPLevel1"/>
      </w:pPr>
      <w:r w:rsidRPr="008576AA">
        <w:t>REFERENCES</w:t>
      </w:r>
    </w:p>
    <w:p w14:paraId="0EFA8B52" w14:textId="08205B28" w:rsidR="00DE2B86" w:rsidRDefault="00DE2B86" w:rsidP="00DE2B86">
      <w:pPr>
        <w:pStyle w:val="SOPLevel2"/>
      </w:pPr>
      <w:r>
        <w:t xml:space="preserve">SMART IRB Agreement: </w:t>
      </w:r>
      <w:hyperlink r:id="rId11" w:history="1">
        <w:r w:rsidRPr="00715302">
          <w:rPr>
            <w:rStyle w:val="Hyperlink"/>
          </w:rPr>
          <w:t>https://smartirb.org/agreement/</w:t>
        </w:r>
      </w:hyperlink>
      <w:r>
        <w:t xml:space="preserve"> </w:t>
      </w:r>
    </w:p>
    <w:p w14:paraId="09F22292" w14:textId="44CC0CCA" w:rsidR="000F08AA" w:rsidRDefault="00DE2B86" w:rsidP="003F47DA">
      <w:pPr>
        <w:pStyle w:val="SOPLevel2"/>
      </w:pPr>
      <w:r w:rsidRPr="00DE2B86">
        <w:t>OHRP Authorization Agreement template</w:t>
      </w:r>
      <w:r>
        <w:t xml:space="preserve">: </w:t>
      </w:r>
      <w:hyperlink r:id="rId12" w:history="1">
        <w:r w:rsidRPr="00715302">
          <w:rPr>
            <w:rStyle w:val="Hyperlink"/>
          </w:rPr>
          <w:t>https://www.hhs.gov/ohrp/register-irbs-and-obtain-fwas/forms/irb-authorization-agreement/index.html</w:t>
        </w:r>
      </w:hyperlink>
      <w:r>
        <w:t xml:space="preserve"> </w:t>
      </w:r>
    </w:p>
    <w:sectPr w:rsidR="000F08AA" w:rsidSect="00F95D1D">
      <w:headerReference w:type="default" r:id="rId13"/>
      <w:pgSz w:w="12240" w:h="15840"/>
      <w:pgMar w:top="121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B72BE" w14:textId="77777777" w:rsidR="00F748FD" w:rsidRDefault="00F748FD">
      <w:pPr>
        <w:spacing w:after="0" w:line="240" w:lineRule="auto"/>
      </w:pPr>
      <w:r>
        <w:separator/>
      </w:r>
    </w:p>
  </w:endnote>
  <w:endnote w:type="continuationSeparator" w:id="0">
    <w:p w14:paraId="0A7D972D" w14:textId="77777777" w:rsidR="00F748FD" w:rsidRDefault="00F748FD">
      <w:pPr>
        <w:spacing w:after="0" w:line="240" w:lineRule="auto"/>
      </w:pPr>
      <w:r>
        <w:continuationSeparator/>
      </w:r>
    </w:p>
  </w:endnote>
  <w:endnote w:type="continuationNotice" w:id="1">
    <w:p w14:paraId="722D2B6B" w14:textId="77777777" w:rsidR="003307F9" w:rsidRDefault="003307F9">
      <w:pPr>
        <w:spacing w:after="0" w:line="240" w:lineRule="auto"/>
      </w:pPr>
    </w:p>
  </w:endnote>
  <w:endnote w:id="2">
    <w:p w14:paraId="569DAACE" w14:textId="709EAB7B" w:rsidR="00BB20B5" w:rsidRDefault="00BB20B5">
      <w:pPr>
        <w:pStyle w:val="EndnoteText"/>
      </w:pPr>
      <w:r>
        <w:rPr>
          <w:rStyle w:val="EndnoteReference"/>
        </w:rPr>
        <w:endnoteRef/>
      </w:r>
      <w:r>
        <w:t xml:space="preserve"> If your institution participates in the NCATS SMART IRB program, then you may choose to replace this SOP with SMART IRB documentation or to supplement this SOP with SMART IRB documentation.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01E12" w14:textId="77777777" w:rsidR="00F748FD" w:rsidRDefault="00F748FD">
      <w:pPr>
        <w:spacing w:after="0" w:line="240" w:lineRule="auto"/>
      </w:pPr>
      <w:r>
        <w:separator/>
      </w:r>
    </w:p>
  </w:footnote>
  <w:footnote w:type="continuationSeparator" w:id="0">
    <w:p w14:paraId="3028B06D" w14:textId="77777777" w:rsidR="00F748FD" w:rsidRDefault="00F748FD">
      <w:pPr>
        <w:spacing w:after="0" w:line="240" w:lineRule="auto"/>
      </w:pPr>
      <w:r>
        <w:continuationSeparator/>
      </w:r>
    </w:p>
  </w:footnote>
  <w:footnote w:type="continuationNotice" w:id="1">
    <w:p w14:paraId="717775AB" w14:textId="77777777" w:rsidR="003307F9" w:rsidRDefault="003307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671"/>
      <w:gridCol w:w="1639"/>
      <w:gridCol w:w="1770"/>
      <w:gridCol w:w="2284"/>
    </w:tblGrid>
    <w:tr w:rsidR="0013242F" w:rsidRPr="001077F5" w14:paraId="4EE72D12" w14:textId="77777777" w:rsidTr="006271CF">
      <w:trPr>
        <w:cantSplit/>
        <w:trHeight w:val="260"/>
      </w:trPr>
      <w:tc>
        <w:tcPr>
          <w:tcW w:w="3671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2D3A712D" w14:textId="08D49B0B" w:rsidR="0013242F" w:rsidRPr="001077F5" w:rsidRDefault="004C0156" w:rsidP="0013242F">
          <w:pPr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F4CB522" wp14:editId="41AA7E78">
                <wp:simplePos x="0" y="0"/>
                <wp:positionH relativeFrom="column">
                  <wp:posOffset>236220</wp:posOffset>
                </wp:positionH>
                <wp:positionV relativeFrom="paragraph">
                  <wp:posOffset>-10795</wp:posOffset>
                </wp:positionV>
                <wp:extent cx="1752600" cy="473710"/>
                <wp:effectExtent l="0" t="0" r="0" b="254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4737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9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1496BA" w14:textId="468D3760" w:rsidR="0013242F" w:rsidRPr="001077F5" w:rsidRDefault="0013242F" w:rsidP="0013242F">
          <w:pPr>
            <w:pStyle w:val="SOPName"/>
            <w:spacing w:before="120" w:after="120"/>
            <w:jc w:val="center"/>
            <w:rPr>
              <w:rFonts w:cs="Arial"/>
            </w:rPr>
          </w:pPr>
          <w:r>
            <w:rPr>
              <w:rStyle w:val="SOPLeader"/>
              <w:rFonts w:ascii="Arial" w:hAnsi="Arial" w:cs="Arial"/>
            </w:rPr>
            <w:t>SOP: Establishing Authorization Agreements</w:t>
          </w:r>
        </w:p>
      </w:tc>
    </w:tr>
    <w:tr w:rsidR="005000B9" w:rsidRPr="001077F5" w14:paraId="42AC48C7" w14:textId="77777777" w:rsidTr="005000B9">
      <w:trPr>
        <w:cantSplit/>
        <w:trHeight w:val="288"/>
      </w:trPr>
      <w:tc>
        <w:tcPr>
          <w:tcW w:w="3671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15B8DAAB" w14:textId="77777777" w:rsidR="005000B9" w:rsidRPr="001077F5" w:rsidRDefault="005000B9" w:rsidP="0013242F">
          <w:pPr>
            <w:rPr>
              <w:rFonts w:ascii="Arial" w:hAnsi="Arial" w:cs="Arial"/>
            </w:rPr>
          </w:pPr>
        </w:p>
      </w:tc>
      <w:tc>
        <w:tcPr>
          <w:tcW w:w="16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6FA97E67" w14:textId="77777777" w:rsidR="005000B9" w:rsidRPr="001077F5" w:rsidRDefault="005000B9" w:rsidP="0013242F">
          <w:pPr>
            <w:pStyle w:val="SOPTableHeader"/>
            <w:rPr>
              <w:rFonts w:cs="Arial"/>
              <w:sz w:val="18"/>
              <w:szCs w:val="18"/>
            </w:rPr>
          </w:pPr>
          <w:r w:rsidRPr="001077F5">
            <w:rPr>
              <w:rFonts w:cs="Arial"/>
              <w:sz w:val="18"/>
              <w:szCs w:val="18"/>
            </w:rPr>
            <w:t>NUMBER</w:t>
          </w:r>
        </w:p>
      </w:tc>
      <w:tc>
        <w:tcPr>
          <w:tcW w:w="17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794FB1A5" w14:textId="275954B4" w:rsidR="005000B9" w:rsidRPr="001077F5" w:rsidRDefault="005000B9" w:rsidP="0013242F">
          <w:pPr>
            <w:pStyle w:val="SOPTableHeader"/>
            <w:rPr>
              <w:rFonts w:cs="Arial"/>
              <w:sz w:val="18"/>
              <w:szCs w:val="18"/>
            </w:rPr>
          </w:pPr>
          <w:r w:rsidRPr="001077F5">
            <w:rPr>
              <w:rFonts w:cs="Arial"/>
              <w:sz w:val="18"/>
              <w:szCs w:val="18"/>
            </w:rPr>
            <w:t>DATE</w:t>
          </w:r>
        </w:p>
      </w:tc>
      <w:tc>
        <w:tcPr>
          <w:tcW w:w="22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3657001E" w14:textId="77777777" w:rsidR="005000B9" w:rsidRPr="001077F5" w:rsidRDefault="005000B9" w:rsidP="0013242F">
          <w:pPr>
            <w:pStyle w:val="SOPTableHeader"/>
            <w:rPr>
              <w:rFonts w:cs="Arial"/>
              <w:sz w:val="18"/>
              <w:szCs w:val="18"/>
            </w:rPr>
          </w:pPr>
          <w:r w:rsidRPr="001077F5">
            <w:rPr>
              <w:rFonts w:cs="Arial"/>
              <w:sz w:val="18"/>
              <w:szCs w:val="18"/>
            </w:rPr>
            <w:t>PAGE</w:t>
          </w:r>
        </w:p>
      </w:tc>
    </w:tr>
    <w:tr w:rsidR="005000B9" w:rsidRPr="001077F5" w14:paraId="2E9828D0" w14:textId="77777777" w:rsidTr="005000B9">
      <w:trPr>
        <w:cantSplit/>
        <w:trHeight w:val="288"/>
      </w:trPr>
      <w:tc>
        <w:tcPr>
          <w:tcW w:w="3671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6670E357" w14:textId="77777777" w:rsidR="005000B9" w:rsidRPr="001077F5" w:rsidRDefault="005000B9" w:rsidP="0013242F">
          <w:pPr>
            <w:rPr>
              <w:rFonts w:ascii="Arial" w:hAnsi="Arial" w:cs="Arial"/>
            </w:rPr>
          </w:pPr>
        </w:p>
      </w:tc>
      <w:tc>
        <w:tcPr>
          <w:tcW w:w="16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13CE73C6" w14:textId="56254D0B" w:rsidR="005000B9" w:rsidRPr="001077F5" w:rsidRDefault="005000B9" w:rsidP="0013242F">
          <w:pPr>
            <w:pStyle w:val="SOPTableEntry"/>
            <w:rPr>
              <w:rFonts w:cs="Arial"/>
            </w:rPr>
          </w:pPr>
          <w:r w:rsidRPr="001077F5">
            <w:rPr>
              <w:rFonts w:cs="Arial"/>
            </w:rPr>
            <w:t>HRP-</w:t>
          </w:r>
          <w:r>
            <w:rPr>
              <w:rFonts w:cs="Arial"/>
            </w:rPr>
            <w:t>801</w:t>
          </w:r>
        </w:p>
      </w:tc>
      <w:tc>
        <w:tcPr>
          <w:tcW w:w="17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09A5896E" w14:textId="5E577029" w:rsidR="005000B9" w:rsidRPr="001077F5" w:rsidRDefault="005000B9" w:rsidP="0013242F">
          <w:pPr>
            <w:pStyle w:val="SOPTableEntry"/>
            <w:rPr>
              <w:rFonts w:cs="Arial"/>
            </w:rPr>
          </w:pPr>
          <w:r>
            <w:rPr>
              <w:rFonts w:cs="Arial"/>
            </w:rPr>
            <w:t>5/1/2022</w:t>
          </w:r>
        </w:p>
      </w:tc>
      <w:tc>
        <w:tcPr>
          <w:tcW w:w="22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49CF3E5C" w14:textId="77777777" w:rsidR="005000B9" w:rsidRPr="001077F5" w:rsidRDefault="005000B9" w:rsidP="0013242F">
          <w:pPr>
            <w:pStyle w:val="SOPTableEntry"/>
            <w:rPr>
              <w:rFonts w:cs="Arial"/>
            </w:rPr>
          </w:pPr>
          <w:r w:rsidRPr="001077F5">
            <w:rPr>
              <w:rFonts w:cs="Arial"/>
            </w:rPr>
            <w:fldChar w:fldCharType="begin"/>
          </w:r>
          <w:r w:rsidRPr="001077F5">
            <w:rPr>
              <w:rFonts w:cs="Arial"/>
            </w:rPr>
            <w:instrText xml:space="preserve"> PAGE </w:instrText>
          </w:r>
          <w:r w:rsidRPr="001077F5">
            <w:rPr>
              <w:rFonts w:cs="Arial"/>
            </w:rPr>
            <w:fldChar w:fldCharType="separate"/>
          </w:r>
          <w:r w:rsidRPr="001077F5">
            <w:rPr>
              <w:rFonts w:cs="Arial"/>
              <w:noProof/>
            </w:rPr>
            <w:t>1</w:t>
          </w:r>
          <w:r w:rsidRPr="001077F5">
            <w:rPr>
              <w:rFonts w:cs="Arial"/>
            </w:rPr>
            <w:fldChar w:fldCharType="end"/>
          </w:r>
          <w:r w:rsidRPr="001077F5">
            <w:rPr>
              <w:rFonts w:cs="Arial"/>
            </w:rPr>
            <w:t xml:space="preserve"> of </w:t>
          </w:r>
          <w:r w:rsidRPr="001077F5">
            <w:rPr>
              <w:rFonts w:cs="Arial"/>
              <w:noProof/>
            </w:rPr>
            <w:fldChar w:fldCharType="begin"/>
          </w:r>
          <w:r w:rsidRPr="001077F5">
            <w:rPr>
              <w:rFonts w:cs="Arial"/>
              <w:noProof/>
            </w:rPr>
            <w:instrText xml:space="preserve"> NUMPAGES </w:instrText>
          </w:r>
          <w:r w:rsidRPr="001077F5">
            <w:rPr>
              <w:rFonts w:cs="Arial"/>
              <w:noProof/>
            </w:rPr>
            <w:fldChar w:fldCharType="separate"/>
          </w:r>
          <w:r w:rsidRPr="001077F5">
            <w:rPr>
              <w:rFonts w:cs="Arial"/>
              <w:noProof/>
            </w:rPr>
            <w:t>6</w:t>
          </w:r>
          <w:r w:rsidRPr="001077F5">
            <w:rPr>
              <w:rFonts w:cs="Arial"/>
              <w:noProof/>
            </w:rPr>
            <w:fldChar w:fldCharType="end"/>
          </w:r>
        </w:p>
      </w:tc>
    </w:tr>
  </w:tbl>
  <w:p w14:paraId="4E9E9252" w14:textId="77777777" w:rsidR="003450E2" w:rsidRPr="007A2BC4" w:rsidRDefault="0047190E" w:rsidP="00F95D1D">
    <w:pPr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83E7B"/>
    <w:multiLevelType w:val="multilevel"/>
    <w:tmpl w:val="C0B0D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64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99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2B61D78"/>
    <w:multiLevelType w:val="multilevel"/>
    <w:tmpl w:val="399A21BA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18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736"/>
        </w:tabs>
        <w:ind w:left="1008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860849817">
    <w:abstractNumId w:val="1"/>
  </w:num>
  <w:num w:numId="2" w16cid:durableId="12871574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9715182">
    <w:abstractNumId w:val="0"/>
  </w:num>
  <w:num w:numId="4" w16cid:durableId="1861507603">
    <w:abstractNumId w:val="1"/>
  </w:num>
  <w:num w:numId="5" w16cid:durableId="1542590076">
    <w:abstractNumId w:val="1"/>
  </w:num>
  <w:num w:numId="6" w16cid:durableId="16951582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6616737">
    <w:abstractNumId w:val="1"/>
  </w:num>
  <w:num w:numId="8" w16cid:durableId="2065449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A24"/>
    <w:rsid w:val="00011BC0"/>
    <w:rsid w:val="00017438"/>
    <w:rsid w:val="0006281D"/>
    <w:rsid w:val="00071DA9"/>
    <w:rsid w:val="00073FCE"/>
    <w:rsid w:val="00096A6F"/>
    <w:rsid w:val="000F08AA"/>
    <w:rsid w:val="0012567B"/>
    <w:rsid w:val="0013242F"/>
    <w:rsid w:val="001438E7"/>
    <w:rsid w:val="00160028"/>
    <w:rsid w:val="00183D91"/>
    <w:rsid w:val="001C1B58"/>
    <w:rsid w:val="001F0B80"/>
    <w:rsid w:val="001F3D4D"/>
    <w:rsid w:val="00207ECF"/>
    <w:rsid w:val="00243D14"/>
    <w:rsid w:val="0028397E"/>
    <w:rsid w:val="00292717"/>
    <w:rsid w:val="002A0872"/>
    <w:rsid w:val="002C17C9"/>
    <w:rsid w:val="002F39F1"/>
    <w:rsid w:val="002F408C"/>
    <w:rsid w:val="002F4D17"/>
    <w:rsid w:val="002F565D"/>
    <w:rsid w:val="00307E26"/>
    <w:rsid w:val="00327A6C"/>
    <w:rsid w:val="003307F9"/>
    <w:rsid w:val="0033500C"/>
    <w:rsid w:val="003761A2"/>
    <w:rsid w:val="003779A3"/>
    <w:rsid w:val="00397C95"/>
    <w:rsid w:val="003E57BD"/>
    <w:rsid w:val="003F47DA"/>
    <w:rsid w:val="004225A4"/>
    <w:rsid w:val="004533FA"/>
    <w:rsid w:val="0047190E"/>
    <w:rsid w:val="004937CF"/>
    <w:rsid w:val="004C0156"/>
    <w:rsid w:val="004D64CC"/>
    <w:rsid w:val="005000B9"/>
    <w:rsid w:val="0057287F"/>
    <w:rsid w:val="00587E85"/>
    <w:rsid w:val="005933A2"/>
    <w:rsid w:val="0059747C"/>
    <w:rsid w:val="005A2824"/>
    <w:rsid w:val="005A5755"/>
    <w:rsid w:val="005B21F8"/>
    <w:rsid w:val="005B5A24"/>
    <w:rsid w:val="006271CF"/>
    <w:rsid w:val="00630A44"/>
    <w:rsid w:val="00667371"/>
    <w:rsid w:val="006860DE"/>
    <w:rsid w:val="006A3613"/>
    <w:rsid w:val="006A3AC4"/>
    <w:rsid w:val="006A62EE"/>
    <w:rsid w:val="006D442D"/>
    <w:rsid w:val="006E0962"/>
    <w:rsid w:val="006E7585"/>
    <w:rsid w:val="00723EB5"/>
    <w:rsid w:val="00736CAF"/>
    <w:rsid w:val="0074082C"/>
    <w:rsid w:val="00797C6F"/>
    <w:rsid w:val="007C24D6"/>
    <w:rsid w:val="007F5B24"/>
    <w:rsid w:val="007F7840"/>
    <w:rsid w:val="00805A31"/>
    <w:rsid w:val="008165B8"/>
    <w:rsid w:val="00855C6A"/>
    <w:rsid w:val="00876CAA"/>
    <w:rsid w:val="00880FA6"/>
    <w:rsid w:val="008A342A"/>
    <w:rsid w:val="008A5F92"/>
    <w:rsid w:val="008D4469"/>
    <w:rsid w:val="008D4759"/>
    <w:rsid w:val="008E702B"/>
    <w:rsid w:val="00903F37"/>
    <w:rsid w:val="009135E0"/>
    <w:rsid w:val="00921DBD"/>
    <w:rsid w:val="00935E0C"/>
    <w:rsid w:val="0097523F"/>
    <w:rsid w:val="009E0F71"/>
    <w:rsid w:val="009E2066"/>
    <w:rsid w:val="009E76BC"/>
    <w:rsid w:val="00A54FDF"/>
    <w:rsid w:val="00A71EC8"/>
    <w:rsid w:val="00A72D87"/>
    <w:rsid w:val="00A969B2"/>
    <w:rsid w:val="00AB02E1"/>
    <w:rsid w:val="00AC5423"/>
    <w:rsid w:val="00AD3D6F"/>
    <w:rsid w:val="00AD5A76"/>
    <w:rsid w:val="00AE756C"/>
    <w:rsid w:val="00AF0B22"/>
    <w:rsid w:val="00AF6CBB"/>
    <w:rsid w:val="00B46EE1"/>
    <w:rsid w:val="00BA0B15"/>
    <w:rsid w:val="00BB20B5"/>
    <w:rsid w:val="00BC70DA"/>
    <w:rsid w:val="00C2745C"/>
    <w:rsid w:val="00C30346"/>
    <w:rsid w:val="00C31ED6"/>
    <w:rsid w:val="00C329C8"/>
    <w:rsid w:val="00C53B7C"/>
    <w:rsid w:val="00C72979"/>
    <w:rsid w:val="00C76A34"/>
    <w:rsid w:val="00C81B2C"/>
    <w:rsid w:val="00C919DE"/>
    <w:rsid w:val="00CC7A72"/>
    <w:rsid w:val="00D01AB5"/>
    <w:rsid w:val="00D07279"/>
    <w:rsid w:val="00D52018"/>
    <w:rsid w:val="00D84AB9"/>
    <w:rsid w:val="00DE2B86"/>
    <w:rsid w:val="00DE4F31"/>
    <w:rsid w:val="00DF1A89"/>
    <w:rsid w:val="00E162AB"/>
    <w:rsid w:val="00E179E7"/>
    <w:rsid w:val="00E21107"/>
    <w:rsid w:val="00E32B38"/>
    <w:rsid w:val="00E737BC"/>
    <w:rsid w:val="00EC2A2D"/>
    <w:rsid w:val="00ED7F33"/>
    <w:rsid w:val="00F12DC3"/>
    <w:rsid w:val="00F171E7"/>
    <w:rsid w:val="00F240A2"/>
    <w:rsid w:val="00F3508E"/>
    <w:rsid w:val="00F463B4"/>
    <w:rsid w:val="00F56862"/>
    <w:rsid w:val="00F748FD"/>
    <w:rsid w:val="00F95D1D"/>
    <w:rsid w:val="00FC32D5"/>
    <w:rsid w:val="00FD019B"/>
    <w:rsid w:val="1B4C4588"/>
    <w:rsid w:val="1BEF6EE9"/>
    <w:rsid w:val="3620AB31"/>
    <w:rsid w:val="7139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F0D4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PFooter">
    <w:name w:val="SOP Footer"/>
    <w:basedOn w:val="Normal"/>
    <w:rsid w:val="005B5A24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SOPLeader">
    <w:name w:val="SOP Leader"/>
    <w:rsid w:val="005B5A24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5B5A24"/>
    <w:pPr>
      <w:spacing w:after="0" w:line="240" w:lineRule="auto"/>
    </w:pPr>
    <w:rPr>
      <w:rFonts w:ascii="Arial" w:eastAsia="Times New Roman" w:hAnsi="Arial" w:cs="Tahoma"/>
      <w:sz w:val="24"/>
      <w:szCs w:val="20"/>
    </w:rPr>
  </w:style>
  <w:style w:type="character" w:styleId="Hyperlink">
    <w:name w:val="Hyperlink"/>
    <w:semiHidden/>
    <w:rsid w:val="005B5A24"/>
    <w:rPr>
      <w:color w:val="0000FF"/>
      <w:u w:val="single"/>
    </w:rPr>
  </w:style>
  <w:style w:type="paragraph" w:customStyle="1" w:styleId="SOPTableHeader">
    <w:name w:val="SOP Table Header"/>
    <w:basedOn w:val="Normal"/>
    <w:rsid w:val="005B5A24"/>
    <w:pPr>
      <w:spacing w:after="0" w:line="240" w:lineRule="auto"/>
      <w:jc w:val="center"/>
    </w:pPr>
    <w:rPr>
      <w:rFonts w:ascii="Arial" w:eastAsia="Times New Roman" w:hAnsi="Arial" w:cs="Tahoma"/>
      <w:sz w:val="20"/>
      <w:szCs w:val="20"/>
    </w:rPr>
  </w:style>
  <w:style w:type="paragraph" w:customStyle="1" w:styleId="SOPTableEntry">
    <w:name w:val="SOP Table Entry"/>
    <w:basedOn w:val="SOPTableHeader"/>
    <w:rsid w:val="005B5A24"/>
    <w:rPr>
      <w:sz w:val="18"/>
    </w:rPr>
  </w:style>
  <w:style w:type="paragraph" w:customStyle="1" w:styleId="SOPLevel1">
    <w:name w:val="SOP Level 1"/>
    <w:basedOn w:val="Normal"/>
    <w:rsid w:val="005B5A24"/>
    <w:pPr>
      <w:numPr>
        <w:numId w:val="1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rsid w:val="005B5A24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5B5A24"/>
    <w:pPr>
      <w:numPr>
        <w:ilvl w:val="2"/>
      </w:numPr>
    </w:pPr>
  </w:style>
  <w:style w:type="paragraph" w:customStyle="1" w:styleId="SOPLevel4">
    <w:name w:val="SOP Level 4"/>
    <w:basedOn w:val="SOPLevel3"/>
    <w:rsid w:val="005B5A24"/>
    <w:pPr>
      <w:numPr>
        <w:ilvl w:val="3"/>
      </w:numPr>
      <w:ind w:left="2736" w:hanging="1008"/>
    </w:pPr>
  </w:style>
  <w:style w:type="paragraph" w:customStyle="1" w:styleId="SOPLevel5">
    <w:name w:val="SOP Level 5"/>
    <w:basedOn w:val="SOPLevel4"/>
    <w:rsid w:val="005B5A24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5B5A24"/>
    <w:pPr>
      <w:numPr>
        <w:ilvl w:val="5"/>
      </w:numPr>
      <w:ind w:left="5400" w:hanging="1440"/>
    </w:pPr>
  </w:style>
  <w:style w:type="paragraph" w:styleId="Header">
    <w:name w:val="header"/>
    <w:basedOn w:val="Normal"/>
    <w:link w:val="HeaderChar"/>
    <w:uiPriority w:val="99"/>
    <w:unhideWhenUsed/>
    <w:rsid w:val="00AD3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D6F"/>
  </w:style>
  <w:style w:type="paragraph" w:styleId="Footer">
    <w:name w:val="footer"/>
    <w:basedOn w:val="Normal"/>
    <w:link w:val="FooterChar"/>
    <w:uiPriority w:val="99"/>
    <w:unhideWhenUsed/>
    <w:rsid w:val="00AD3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D6F"/>
  </w:style>
  <w:style w:type="paragraph" w:styleId="BalloonText">
    <w:name w:val="Balloon Text"/>
    <w:basedOn w:val="Normal"/>
    <w:link w:val="BalloonTextChar"/>
    <w:uiPriority w:val="99"/>
    <w:semiHidden/>
    <w:unhideWhenUsed/>
    <w:rsid w:val="00C7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A34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23EB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3EB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23EB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93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37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3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7C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011BC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11BC0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1A8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7523F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C53B7C"/>
  </w:style>
  <w:style w:type="character" w:customStyle="1" w:styleId="eop">
    <w:name w:val="eop"/>
    <w:basedOn w:val="DefaultParagraphFont"/>
    <w:rsid w:val="00C53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9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hs.gov/ohrp/register-irbs-and-obtain-fwas/forms/irb-authorization-agreement/index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martirb.org/agreement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B9A350106254CA55E556084C0CB8F" ma:contentTypeVersion="4" ma:contentTypeDescription="Create a new document." ma:contentTypeScope="" ma:versionID="9ce75cc87270c1b26116e36f4b810378">
  <xsd:schema xmlns:xsd="http://www.w3.org/2001/XMLSchema" xmlns:xs="http://www.w3.org/2001/XMLSchema" xmlns:p="http://schemas.microsoft.com/office/2006/metadata/properties" xmlns:ns2="79da1339-76b9-4fe1-b76d-e45c3b2db929" targetNamespace="http://schemas.microsoft.com/office/2006/metadata/properties" ma:root="true" ma:fieldsID="f54f74f89947a92a961605b38a325c0a" ns2:_="">
    <xsd:import namespace="79da1339-76b9-4fe1-b76d-e45c3b2db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a1339-76b9-4fe1-b76d-e45c3b2db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E261C6-EF0B-4B35-8169-AF6F51A756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5553B-9DE1-4620-9DBB-52C5CAD63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a1339-76b9-4fe1-b76d-e45c3b2db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4588D9-E347-4964-85C9-813EAF9396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979C4E-FFDA-4DDA-BCFB-63517E1051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Links>
    <vt:vector size="12" baseType="variant">
      <vt:variant>
        <vt:i4>2687100</vt:i4>
      </vt:variant>
      <vt:variant>
        <vt:i4>3</vt:i4>
      </vt:variant>
      <vt:variant>
        <vt:i4>0</vt:i4>
      </vt:variant>
      <vt:variant>
        <vt:i4>5</vt:i4>
      </vt:variant>
      <vt:variant>
        <vt:lpwstr>https://www.hhs.gov/ohrp/register-irbs-and-obtain-fwas/forms/irb-authorization-agreement/index.html</vt:lpwstr>
      </vt:variant>
      <vt:variant>
        <vt:lpwstr/>
      </vt:variant>
      <vt:variant>
        <vt:i4>6946854</vt:i4>
      </vt:variant>
      <vt:variant>
        <vt:i4>0</vt:i4>
      </vt:variant>
      <vt:variant>
        <vt:i4>0</vt:i4>
      </vt:variant>
      <vt:variant>
        <vt:i4>5</vt:i4>
      </vt:variant>
      <vt:variant>
        <vt:lpwstr>https://smartirb.org/agreement/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2022-05-26T04:36:00Z</dcterms:created>
  <dcterms:modified xsi:type="dcterms:W3CDTF">2022-06-02T23:03:00Z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0x010100F3BB9A350106254CA55E556084C0CB8F</vt:lpwstr>
  </property>
</Properties>
</file>